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155C" w14:textId="77777777" w:rsidR="004B6F85" w:rsidRPr="006C21A7" w:rsidRDefault="00D8578A" w:rsidP="000E5D99">
      <w:pPr>
        <w:rPr>
          <w:b/>
          <w:iCs/>
        </w:rPr>
      </w:pPr>
      <w:r>
        <w:rPr>
          <w:b/>
          <w:iCs/>
        </w:rPr>
        <w:t xml:space="preserve">                                                                                                                                                                                                                                                                                                                                                                                                                                                                                                                                                                                                                                                                                                                                                                                                                                                                                                                                                                                                                                                                                                                                                                                                                          </w:t>
      </w:r>
      <w:r w:rsidR="005E0C8D" w:rsidRPr="006C21A7">
        <w:rPr>
          <w:b/>
          <w:iCs/>
        </w:rPr>
        <w:t>Original Research</w:t>
      </w:r>
    </w:p>
    <w:p w14:paraId="76FE5411" w14:textId="77777777" w:rsidR="004B6F85" w:rsidRPr="006C21A7" w:rsidRDefault="004B6F85" w:rsidP="000E5D99">
      <w:pPr>
        <w:rPr>
          <w:b/>
          <w:i/>
          <w:iCs/>
        </w:rPr>
      </w:pPr>
    </w:p>
    <w:p w14:paraId="5C341DB9" w14:textId="4A39576E" w:rsidR="0049094D" w:rsidRPr="006C21A7" w:rsidRDefault="00A454FF" w:rsidP="0049094D">
      <w:pPr>
        <w:jc w:val="both"/>
        <w:rPr>
          <w:rFonts w:eastAsia="Times New Roman"/>
          <w:b/>
        </w:rPr>
      </w:pPr>
      <w:bookmarkStart w:id="0" w:name="_Hlk218445768"/>
      <w:r w:rsidRPr="00A454FF">
        <w:rPr>
          <w:rFonts w:eastAsia="Times New Roman"/>
          <w:b/>
          <w:sz w:val="28"/>
        </w:rPr>
        <w:t>Effects of Green Tea Extract (Camellia sinensis L.) on Blood Biochemical Parameters in Paracetamol-Induced Wistar Rats</w:t>
      </w:r>
    </w:p>
    <w:p w14:paraId="2CB64186" w14:textId="77777777" w:rsidR="009B31AD" w:rsidRPr="003C5562" w:rsidRDefault="009B31AD" w:rsidP="000E5D99">
      <w:pPr>
        <w:jc w:val="both"/>
        <w:rPr>
          <w:b/>
          <w:szCs w:val="28"/>
        </w:rPr>
      </w:pPr>
    </w:p>
    <w:p w14:paraId="482B2E37" w14:textId="25100DC2" w:rsidR="00A454FF" w:rsidRPr="006C21A7" w:rsidRDefault="00A454FF" w:rsidP="00A454FF">
      <w:pPr>
        <w:jc w:val="both"/>
        <w:rPr>
          <w:b/>
          <w:vertAlign w:val="superscript"/>
        </w:rPr>
      </w:pPr>
      <w:bookmarkStart w:id="1" w:name="_Hlk181181427"/>
      <w:bookmarkEnd w:id="0"/>
      <w:r>
        <w:rPr>
          <w:b/>
        </w:rPr>
        <w:t>Damar Galih</w:t>
      </w:r>
      <w:r w:rsidRPr="006C21A7">
        <w:rPr>
          <w:b/>
          <w:vertAlign w:val="superscript"/>
        </w:rPr>
        <w:t>1</w:t>
      </w:r>
      <w:r>
        <w:rPr>
          <w:b/>
          <w:vertAlign w:val="superscript"/>
        </w:rPr>
        <w:t>*</w:t>
      </w:r>
      <w:r w:rsidRPr="006C21A7">
        <w:rPr>
          <w:b/>
        </w:rPr>
        <w:t xml:space="preserve">, </w:t>
      </w:r>
      <w:r>
        <w:rPr>
          <w:b/>
        </w:rPr>
        <w:t>Indriyani</w:t>
      </w:r>
      <w:r w:rsidRPr="006C21A7">
        <w:rPr>
          <w:b/>
          <w:vertAlign w:val="superscript"/>
        </w:rPr>
        <w:t>2</w:t>
      </w:r>
      <w:r w:rsidRPr="006C21A7">
        <w:rPr>
          <w:b/>
        </w:rPr>
        <w:t xml:space="preserve">, </w:t>
      </w:r>
      <w:r>
        <w:rPr>
          <w:b/>
        </w:rPr>
        <w:t>Sinta Dwi Septiningtyas</w:t>
      </w:r>
      <w:r w:rsidRPr="006C21A7">
        <w:rPr>
          <w:b/>
          <w:vertAlign w:val="superscript"/>
        </w:rPr>
        <w:t>3</w:t>
      </w:r>
      <w:r>
        <w:rPr>
          <w:b/>
        </w:rPr>
        <w:t>, Wulan Christijanti</w:t>
      </w:r>
      <w:r w:rsidRPr="0097650F">
        <w:rPr>
          <w:b/>
          <w:vertAlign w:val="superscript"/>
        </w:rPr>
        <w:t>4</w:t>
      </w:r>
      <w:r>
        <w:rPr>
          <w:b/>
        </w:rPr>
        <w:t>, R. Susanti</w:t>
      </w:r>
      <w:r w:rsidRPr="0097650F">
        <w:rPr>
          <w:b/>
          <w:vertAlign w:val="superscript"/>
        </w:rPr>
        <w:t>5</w:t>
      </w:r>
      <w:r>
        <w:rPr>
          <w:b/>
        </w:rPr>
        <w:t>, Aditya Marianti</w:t>
      </w:r>
      <w:r w:rsidRPr="0097650F">
        <w:rPr>
          <w:b/>
          <w:vertAlign w:val="superscript"/>
        </w:rPr>
        <w:t>6</w:t>
      </w:r>
      <w:r w:rsidRPr="006C21A7">
        <w:rPr>
          <w:noProof/>
        </w:rPr>
        <w:t xml:space="preserve"> </w:t>
      </w:r>
    </w:p>
    <w:p w14:paraId="3B98CE58" w14:textId="77777777" w:rsidR="00A454FF" w:rsidRPr="006C21A7" w:rsidRDefault="00A454FF" w:rsidP="00A454FF">
      <w:pPr>
        <w:rPr>
          <w:b/>
          <w:sz w:val="20"/>
          <w:szCs w:val="20"/>
        </w:rPr>
      </w:pPr>
    </w:p>
    <w:p w14:paraId="7030E20E" w14:textId="77777777" w:rsidR="00A454FF" w:rsidRPr="006C21A7" w:rsidRDefault="00A454FF" w:rsidP="00A454FF">
      <w:pPr>
        <w:rPr>
          <w:bCs/>
          <w:sz w:val="20"/>
          <w:szCs w:val="20"/>
        </w:rPr>
      </w:pPr>
      <w:r w:rsidRPr="006C21A7">
        <w:rPr>
          <w:bCs/>
          <w:sz w:val="20"/>
          <w:szCs w:val="20"/>
          <w:vertAlign w:val="superscript"/>
        </w:rPr>
        <w:t>1</w:t>
      </w:r>
      <w:r>
        <w:rPr>
          <w:bCs/>
          <w:sz w:val="20"/>
          <w:szCs w:val="20"/>
          <w:vertAlign w:val="superscript"/>
        </w:rPr>
        <w:t xml:space="preserve">,2,3,4,5,6 </w:t>
      </w:r>
      <w:r>
        <w:rPr>
          <w:bCs/>
          <w:sz w:val="20"/>
          <w:szCs w:val="20"/>
        </w:rPr>
        <w:t>Department of Biology Semarang State University, Indonesia</w:t>
      </w:r>
    </w:p>
    <w:p w14:paraId="4674E090" w14:textId="045226D2" w:rsidR="00B86EDD" w:rsidRDefault="00B86EDD" w:rsidP="009B31AD">
      <w:pPr>
        <w:rPr>
          <w:bCs/>
          <w:sz w:val="20"/>
          <w:szCs w:val="20"/>
        </w:rPr>
        <w:sectPr w:rsidR="00B86EDD" w:rsidSect="00A454FF">
          <w:headerReference w:type="default" r:id="rId8"/>
          <w:footerReference w:type="default" r:id="rId9"/>
          <w:pgSz w:w="11907" w:h="16839" w:code="9"/>
          <w:pgMar w:top="1701" w:right="1701" w:bottom="1701" w:left="1701" w:header="709" w:footer="709" w:gutter="0"/>
          <w:pgNumType w:start="64"/>
          <w:cols w:space="708"/>
          <w:docGrid w:linePitch="360"/>
        </w:sectPr>
      </w:pPr>
    </w:p>
    <w:bookmarkEnd w:id="1"/>
    <w:p w14:paraId="0CD7BDE5" w14:textId="77777777" w:rsidR="009F5812" w:rsidRPr="003C5562" w:rsidRDefault="009F5812" w:rsidP="000E5D99">
      <w:pPr>
        <w:jc w:val="both"/>
        <w:rPr>
          <w:b/>
          <w:szCs w:val="28"/>
        </w:rPr>
      </w:pPr>
    </w:p>
    <w:tbl>
      <w:tblPr>
        <w:tblStyle w:val="TableGrid"/>
        <w:tblW w:w="8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236"/>
        <w:gridCol w:w="3136"/>
      </w:tblGrid>
      <w:tr w:rsidR="005E0C8D" w:rsidRPr="006C21A7" w14:paraId="25F91B0A" w14:textId="77777777" w:rsidTr="009336FE">
        <w:trPr>
          <w:trHeight w:val="4085"/>
        </w:trPr>
        <w:tc>
          <w:tcPr>
            <w:tcW w:w="5352" w:type="dxa"/>
          </w:tcPr>
          <w:p w14:paraId="4B9CBBE7" w14:textId="77777777" w:rsidR="003C5562" w:rsidRPr="003C5562" w:rsidRDefault="003C5562" w:rsidP="000E5D99">
            <w:pPr>
              <w:shd w:val="clear" w:color="auto" w:fill="F2F2F2" w:themeFill="background1" w:themeFillShade="F2"/>
              <w:jc w:val="both"/>
              <w:rPr>
                <w:b/>
                <w:sz w:val="20"/>
                <w:szCs w:val="20"/>
                <w:lang w:val="en-ID"/>
              </w:rPr>
            </w:pPr>
            <w:r w:rsidRPr="003C5562">
              <w:rPr>
                <w:b/>
                <w:sz w:val="20"/>
                <w:szCs w:val="20"/>
                <w:lang w:val="en-ID"/>
              </w:rPr>
              <w:t>ABSTRACT</w:t>
            </w:r>
          </w:p>
          <w:p w14:paraId="233CFFDE" w14:textId="3C4AC71C" w:rsidR="009B31AD" w:rsidRDefault="00B86EDD" w:rsidP="00B86EDD">
            <w:pPr>
              <w:shd w:val="clear" w:color="auto" w:fill="F2F2F2" w:themeFill="background1" w:themeFillShade="F2"/>
              <w:jc w:val="both"/>
              <w:rPr>
                <w:i/>
                <w:iCs/>
                <w:sz w:val="20"/>
                <w:szCs w:val="20"/>
              </w:rPr>
            </w:pPr>
            <w:r w:rsidRPr="00045E5E">
              <w:rPr>
                <w:b/>
                <w:bCs/>
                <w:i/>
                <w:iCs/>
                <w:sz w:val="20"/>
                <w:szCs w:val="20"/>
              </w:rPr>
              <w:t>Background:</w:t>
            </w:r>
            <w:r w:rsidRPr="00045E5E">
              <w:rPr>
                <w:i/>
                <w:iCs/>
                <w:sz w:val="20"/>
                <w:szCs w:val="20"/>
              </w:rPr>
              <w:t xml:space="preserve"> </w:t>
            </w:r>
            <w:r w:rsidR="00A454FF" w:rsidRPr="00A454FF">
              <w:rPr>
                <w:i/>
                <w:iCs/>
                <w:sz w:val="20"/>
                <w:szCs w:val="20"/>
              </w:rPr>
              <w:t>Paracetamol is one of the analgesics and antipyretics that are widely traded freely, so it is possible that the use is not according to the recommended dose and consumption time. This can trigger liver damage and changes in blood biochemistry. Green tea has components such as antioxidants, anti-inflammatories, and hepatoprotectors. The study aimed to analyze the effect of green tea extract on the blood biochemistry of rats induced by paracetamol.</w:t>
            </w:r>
          </w:p>
          <w:p w14:paraId="7BD8E912" w14:textId="77777777" w:rsidR="00A454FF" w:rsidRPr="00045E5E" w:rsidRDefault="00A454FF" w:rsidP="00B86EDD">
            <w:pPr>
              <w:shd w:val="clear" w:color="auto" w:fill="F2F2F2" w:themeFill="background1" w:themeFillShade="F2"/>
              <w:jc w:val="both"/>
              <w:rPr>
                <w:i/>
                <w:iCs/>
                <w:sz w:val="20"/>
                <w:szCs w:val="20"/>
              </w:rPr>
            </w:pPr>
          </w:p>
          <w:p w14:paraId="03CC2F93" w14:textId="65B72FEF" w:rsidR="009B31AD" w:rsidRDefault="00B86EDD" w:rsidP="00B86EDD">
            <w:pPr>
              <w:shd w:val="clear" w:color="auto" w:fill="F2F2F2" w:themeFill="background1" w:themeFillShade="F2"/>
              <w:jc w:val="both"/>
              <w:rPr>
                <w:i/>
                <w:iCs/>
                <w:sz w:val="20"/>
                <w:szCs w:val="20"/>
              </w:rPr>
            </w:pPr>
            <w:r w:rsidRPr="00045E5E">
              <w:rPr>
                <w:b/>
                <w:bCs/>
                <w:i/>
                <w:iCs/>
                <w:sz w:val="20"/>
                <w:szCs w:val="20"/>
              </w:rPr>
              <w:t>Methods:</w:t>
            </w:r>
            <w:r w:rsidRPr="00045E5E">
              <w:rPr>
                <w:i/>
                <w:iCs/>
                <w:sz w:val="20"/>
                <w:szCs w:val="20"/>
              </w:rPr>
              <w:t xml:space="preserve"> </w:t>
            </w:r>
            <w:r w:rsidR="00A454FF" w:rsidRPr="00A454FF">
              <w:rPr>
                <w:i/>
                <w:iCs/>
                <w:sz w:val="20"/>
                <w:szCs w:val="20"/>
              </w:rPr>
              <w:t>Laboratory experimental research with the Post-Test Control Group Design method, using 25 male Wistar rats, applying random sampling. Twenty-five rats were divided into 5 groups: K- (control), K+ (positive control), and treatment groups with green tea extract, respectively 175 mg (T1), 350 mg (T2), and 700 mg/kg bw (T3) for 24 days. The treatment group and K+ received paracetamol 600 mg/kg bw on the 14th day for 10 days, and green tea extract was still given. Data, including aspartate aminotransferase (AST), alanine aminotransferase (ALT), triglycerides (TG), total cholesterol, and leukocyte counts, were analysed using ANOVA and the Least Significant Difference (LSD) test.</w:t>
            </w:r>
          </w:p>
          <w:p w14:paraId="638532AC" w14:textId="77777777" w:rsidR="00A454FF" w:rsidRPr="00045E5E" w:rsidRDefault="00A454FF" w:rsidP="00B86EDD">
            <w:pPr>
              <w:shd w:val="clear" w:color="auto" w:fill="F2F2F2" w:themeFill="background1" w:themeFillShade="F2"/>
              <w:jc w:val="both"/>
              <w:rPr>
                <w:i/>
                <w:iCs/>
                <w:sz w:val="20"/>
                <w:szCs w:val="20"/>
              </w:rPr>
            </w:pPr>
          </w:p>
          <w:p w14:paraId="5C0FE9C7" w14:textId="7CBF9737" w:rsidR="009B31AD" w:rsidRDefault="00B86EDD" w:rsidP="00B86EDD">
            <w:pPr>
              <w:shd w:val="clear" w:color="auto" w:fill="F2F2F2" w:themeFill="background1" w:themeFillShade="F2"/>
              <w:jc w:val="both"/>
              <w:rPr>
                <w:i/>
                <w:iCs/>
                <w:sz w:val="20"/>
                <w:szCs w:val="20"/>
              </w:rPr>
            </w:pPr>
            <w:r w:rsidRPr="00045E5E">
              <w:rPr>
                <w:b/>
                <w:bCs/>
                <w:i/>
                <w:iCs/>
                <w:sz w:val="20"/>
                <w:szCs w:val="20"/>
              </w:rPr>
              <w:t>Results:</w:t>
            </w:r>
            <w:r w:rsidR="0049094D">
              <w:rPr>
                <w:b/>
                <w:bCs/>
                <w:i/>
                <w:iCs/>
                <w:sz w:val="20"/>
                <w:szCs w:val="20"/>
              </w:rPr>
              <w:t xml:space="preserve"> </w:t>
            </w:r>
            <w:r w:rsidR="00A454FF" w:rsidRPr="00A454FF">
              <w:rPr>
                <w:i/>
                <w:iCs/>
                <w:sz w:val="20"/>
                <w:szCs w:val="20"/>
              </w:rPr>
              <w:t>GTE significantly (</w:t>
            </w:r>
            <w:r w:rsidR="00A454FF">
              <w:rPr>
                <w:i/>
                <w:iCs/>
                <w:sz w:val="20"/>
                <w:szCs w:val="20"/>
              </w:rPr>
              <w:t xml:space="preserve">p-value </w:t>
            </w:r>
            <w:r w:rsidR="00A454FF" w:rsidRPr="00A454FF">
              <w:rPr>
                <w:i/>
                <w:iCs/>
                <w:sz w:val="20"/>
                <w:szCs w:val="20"/>
              </w:rPr>
              <w:t>&lt;0.05) reduced leukocytes and AST, but inadequate paracetamol induction failed to elevate ALT and lipids, masking GTE’s measurable impact on those specific biochemical parameters.</w:t>
            </w:r>
          </w:p>
          <w:p w14:paraId="44D18317" w14:textId="77777777" w:rsidR="0049094D" w:rsidRPr="00045E5E" w:rsidRDefault="0049094D" w:rsidP="00B86EDD">
            <w:pPr>
              <w:shd w:val="clear" w:color="auto" w:fill="F2F2F2" w:themeFill="background1" w:themeFillShade="F2"/>
              <w:jc w:val="both"/>
              <w:rPr>
                <w:i/>
                <w:iCs/>
                <w:sz w:val="20"/>
                <w:szCs w:val="20"/>
              </w:rPr>
            </w:pPr>
          </w:p>
          <w:p w14:paraId="558488D2" w14:textId="688099FC" w:rsidR="005E0C8D" w:rsidRPr="00A454FF" w:rsidRDefault="00B86EDD" w:rsidP="00B86EDD">
            <w:pPr>
              <w:shd w:val="clear" w:color="auto" w:fill="F2F2F2" w:themeFill="background1" w:themeFillShade="F2"/>
              <w:jc w:val="both"/>
              <w:rPr>
                <w:iCs/>
                <w:sz w:val="20"/>
                <w:szCs w:val="20"/>
              </w:rPr>
            </w:pPr>
            <w:r w:rsidRPr="00045E5E">
              <w:rPr>
                <w:b/>
                <w:bCs/>
                <w:i/>
                <w:iCs/>
                <w:sz w:val="20"/>
                <w:szCs w:val="20"/>
              </w:rPr>
              <w:t>Conclusion:</w:t>
            </w:r>
            <w:r w:rsidRPr="00045E5E">
              <w:rPr>
                <w:i/>
                <w:iCs/>
                <w:sz w:val="20"/>
                <w:szCs w:val="20"/>
              </w:rPr>
              <w:t xml:space="preserve"> </w:t>
            </w:r>
            <w:r w:rsidR="00A454FF" w:rsidRPr="004C0D35">
              <w:rPr>
                <w:i/>
                <w:sz w:val="20"/>
                <w:szCs w:val="20"/>
              </w:rPr>
              <w:t>Providing green tea extract was effective in declining the number of leucocytes and AST levels. The study concluded that green tea extract has the potential to influence the biochemical profile of rats induced by paracetamol. Further research is needed regarding the dose and period of administration and exposure</w:t>
            </w:r>
            <w:r w:rsidR="00A454FF">
              <w:rPr>
                <w:i/>
                <w:sz w:val="20"/>
                <w:szCs w:val="20"/>
              </w:rPr>
              <w:t>.</w:t>
            </w:r>
          </w:p>
        </w:tc>
        <w:tc>
          <w:tcPr>
            <w:tcW w:w="236" w:type="dxa"/>
          </w:tcPr>
          <w:p w14:paraId="5881D28E" w14:textId="77777777" w:rsidR="005E0C8D" w:rsidRPr="006C21A7" w:rsidRDefault="005E0C8D" w:rsidP="000E5D99">
            <w:pPr>
              <w:rPr>
                <w:bCs/>
                <w:sz w:val="20"/>
                <w:szCs w:val="20"/>
              </w:rPr>
            </w:pPr>
          </w:p>
        </w:tc>
        <w:tc>
          <w:tcPr>
            <w:tcW w:w="3136" w:type="dxa"/>
          </w:tcPr>
          <w:p w14:paraId="07776B81" w14:textId="77777777" w:rsidR="005E0C8D" w:rsidRPr="003C5562" w:rsidRDefault="004F0530" w:rsidP="000E5D99">
            <w:pPr>
              <w:jc w:val="both"/>
              <w:rPr>
                <w:b/>
                <w:bCs/>
                <w:sz w:val="20"/>
                <w:szCs w:val="20"/>
              </w:rPr>
            </w:pPr>
            <w:r w:rsidRPr="003C5562">
              <w:rPr>
                <w:b/>
                <w:bCs/>
                <w:sz w:val="20"/>
                <w:szCs w:val="20"/>
              </w:rPr>
              <w:t>ARTICLE HISTORY</w:t>
            </w:r>
          </w:p>
          <w:p w14:paraId="0B63E625" w14:textId="1083A4EA" w:rsidR="004F0530" w:rsidRPr="003C5562" w:rsidRDefault="003C5562" w:rsidP="000E5D99">
            <w:pPr>
              <w:jc w:val="both"/>
              <w:rPr>
                <w:bCs/>
                <w:sz w:val="20"/>
                <w:szCs w:val="20"/>
              </w:rPr>
            </w:pPr>
            <w:r>
              <w:rPr>
                <w:bCs/>
                <w:sz w:val="20"/>
                <w:szCs w:val="20"/>
              </w:rPr>
              <w:t>Received</w:t>
            </w:r>
            <w:r w:rsidR="00E53B32" w:rsidRPr="003C5562">
              <w:rPr>
                <w:bCs/>
                <w:sz w:val="20"/>
                <w:szCs w:val="20"/>
              </w:rPr>
              <w:t xml:space="preserve">: </w:t>
            </w:r>
            <w:r w:rsidR="00CE7DFB">
              <w:rPr>
                <w:bCs/>
                <w:sz w:val="20"/>
                <w:szCs w:val="20"/>
              </w:rPr>
              <w:t>August</w:t>
            </w:r>
            <w:r>
              <w:rPr>
                <w:bCs/>
                <w:sz w:val="20"/>
                <w:szCs w:val="20"/>
              </w:rPr>
              <w:t xml:space="preserve"> </w:t>
            </w:r>
            <w:r w:rsidR="00456D48">
              <w:rPr>
                <w:bCs/>
                <w:sz w:val="20"/>
                <w:szCs w:val="20"/>
              </w:rPr>
              <w:t>2</w:t>
            </w:r>
            <w:r w:rsidR="00CE7DFB">
              <w:rPr>
                <w:bCs/>
                <w:sz w:val="20"/>
                <w:szCs w:val="20"/>
              </w:rPr>
              <w:t>8</w:t>
            </w:r>
            <w:r w:rsidR="00CE7DFB" w:rsidRPr="00CE7DFB">
              <w:rPr>
                <w:bCs/>
                <w:sz w:val="20"/>
                <w:szCs w:val="20"/>
                <w:vertAlign w:val="superscript"/>
              </w:rPr>
              <w:t>th</w:t>
            </w:r>
            <w:r>
              <w:rPr>
                <w:bCs/>
                <w:sz w:val="20"/>
                <w:szCs w:val="20"/>
              </w:rPr>
              <w:t>, 2025</w:t>
            </w:r>
          </w:p>
          <w:p w14:paraId="1280C85A" w14:textId="274AD3F8" w:rsidR="004F0530" w:rsidRPr="003C5562" w:rsidRDefault="004F0530" w:rsidP="000E5D99">
            <w:pPr>
              <w:jc w:val="both"/>
              <w:rPr>
                <w:bCs/>
                <w:sz w:val="20"/>
                <w:szCs w:val="20"/>
              </w:rPr>
            </w:pPr>
            <w:r w:rsidRPr="003C5562">
              <w:rPr>
                <w:bCs/>
                <w:sz w:val="20"/>
                <w:szCs w:val="20"/>
              </w:rPr>
              <w:t>Accepted</w:t>
            </w:r>
            <w:r w:rsidR="00E53B32" w:rsidRPr="003C5562">
              <w:rPr>
                <w:bCs/>
                <w:sz w:val="20"/>
                <w:szCs w:val="20"/>
              </w:rPr>
              <w:t xml:space="preserve">: </w:t>
            </w:r>
            <w:r w:rsidR="00456D48">
              <w:rPr>
                <w:bCs/>
                <w:sz w:val="20"/>
                <w:szCs w:val="20"/>
              </w:rPr>
              <w:t>February</w:t>
            </w:r>
            <w:r w:rsidR="003C5562">
              <w:rPr>
                <w:bCs/>
                <w:sz w:val="20"/>
                <w:szCs w:val="20"/>
              </w:rPr>
              <w:t xml:space="preserve"> </w:t>
            </w:r>
            <w:r w:rsidR="00A454FF">
              <w:rPr>
                <w:bCs/>
                <w:sz w:val="20"/>
                <w:szCs w:val="20"/>
              </w:rPr>
              <w:t>14</w:t>
            </w:r>
            <w:r w:rsidR="004F7085" w:rsidRPr="00A54E4D">
              <w:rPr>
                <w:bCs/>
                <w:sz w:val="20"/>
                <w:szCs w:val="20"/>
                <w:vertAlign w:val="superscript"/>
              </w:rPr>
              <w:t>th</w:t>
            </w:r>
            <w:r w:rsidR="003C5562">
              <w:rPr>
                <w:bCs/>
                <w:sz w:val="20"/>
                <w:szCs w:val="20"/>
              </w:rPr>
              <w:t>, 202</w:t>
            </w:r>
            <w:r w:rsidR="00456D48">
              <w:rPr>
                <w:bCs/>
                <w:sz w:val="20"/>
                <w:szCs w:val="20"/>
              </w:rPr>
              <w:t>6</w:t>
            </w:r>
          </w:p>
          <w:p w14:paraId="7192CCEE" w14:textId="77777777" w:rsidR="004F0530" w:rsidRPr="003C5562" w:rsidRDefault="004F0530" w:rsidP="000E5D99">
            <w:pPr>
              <w:jc w:val="both"/>
              <w:rPr>
                <w:bCs/>
                <w:sz w:val="20"/>
                <w:szCs w:val="20"/>
              </w:rPr>
            </w:pPr>
          </w:p>
          <w:p w14:paraId="27CCB50F" w14:textId="77777777" w:rsidR="004F0530" w:rsidRPr="003C5562" w:rsidRDefault="004F0530" w:rsidP="000E5D99">
            <w:pPr>
              <w:jc w:val="both"/>
              <w:rPr>
                <w:b/>
                <w:bCs/>
                <w:sz w:val="20"/>
                <w:szCs w:val="20"/>
              </w:rPr>
            </w:pPr>
            <w:r w:rsidRPr="003C5562">
              <w:rPr>
                <w:b/>
                <w:bCs/>
                <w:sz w:val="20"/>
                <w:szCs w:val="20"/>
              </w:rPr>
              <w:t>KEYWORDS</w:t>
            </w:r>
          </w:p>
          <w:p w14:paraId="52CE63ED" w14:textId="02B46017" w:rsidR="009B31AD" w:rsidRDefault="00A454FF" w:rsidP="000E5D99">
            <w:pPr>
              <w:jc w:val="both"/>
              <w:rPr>
                <w:bCs/>
                <w:iCs/>
                <w:sz w:val="20"/>
                <w:szCs w:val="20"/>
                <w:lang w:val="en-ID"/>
              </w:rPr>
            </w:pPr>
            <w:r>
              <w:rPr>
                <w:bCs/>
                <w:iCs/>
                <w:sz w:val="20"/>
                <w:szCs w:val="20"/>
                <w:lang w:val="en-ID"/>
              </w:rPr>
              <w:t>c</w:t>
            </w:r>
            <w:r w:rsidRPr="00A454FF">
              <w:rPr>
                <w:bCs/>
                <w:iCs/>
                <w:sz w:val="20"/>
                <w:szCs w:val="20"/>
                <w:lang w:val="en-ID"/>
              </w:rPr>
              <w:t>holesterol</w:t>
            </w:r>
            <w:r>
              <w:rPr>
                <w:bCs/>
                <w:iCs/>
                <w:sz w:val="20"/>
                <w:szCs w:val="20"/>
                <w:lang w:val="en-ID"/>
              </w:rPr>
              <w:t>,</w:t>
            </w:r>
            <w:r w:rsidRPr="00A454FF">
              <w:rPr>
                <w:bCs/>
                <w:iCs/>
                <w:sz w:val="20"/>
                <w:szCs w:val="20"/>
                <w:lang w:val="en-ID"/>
              </w:rPr>
              <w:t xml:space="preserve"> green tea</w:t>
            </w:r>
            <w:r>
              <w:rPr>
                <w:bCs/>
                <w:iCs/>
                <w:sz w:val="20"/>
                <w:szCs w:val="20"/>
                <w:lang w:val="en-ID"/>
              </w:rPr>
              <w:t>,</w:t>
            </w:r>
            <w:r w:rsidRPr="00A454FF">
              <w:rPr>
                <w:bCs/>
                <w:iCs/>
                <w:sz w:val="20"/>
                <w:szCs w:val="20"/>
                <w:lang w:val="en-ID"/>
              </w:rPr>
              <w:t xml:space="preserve"> liver enzymes</w:t>
            </w:r>
            <w:r>
              <w:rPr>
                <w:bCs/>
                <w:iCs/>
                <w:sz w:val="20"/>
                <w:szCs w:val="20"/>
                <w:lang w:val="en-ID"/>
              </w:rPr>
              <w:t>,</w:t>
            </w:r>
            <w:r w:rsidRPr="00A454FF">
              <w:rPr>
                <w:bCs/>
                <w:iCs/>
                <w:sz w:val="20"/>
                <w:szCs w:val="20"/>
                <w:lang w:val="en-ID"/>
              </w:rPr>
              <w:t xml:space="preserve"> paracetamo</w:t>
            </w:r>
            <w:r w:rsidR="0041199F">
              <w:rPr>
                <w:bCs/>
                <w:iCs/>
                <w:sz w:val="20"/>
                <w:szCs w:val="20"/>
                <w:lang w:val="en-ID"/>
              </w:rPr>
              <w:t>l</w:t>
            </w:r>
            <w:r>
              <w:rPr>
                <w:bCs/>
                <w:iCs/>
                <w:sz w:val="20"/>
                <w:szCs w:val="20"/>
                <w:lang w:val="en-ID"/>
              </w:rPr>
              <w:t>,</w:t>
            </w:r>
            <w:r w:rsidRPr="00A454FF">
              <w:rPr>
                <w:bCs/>
                <w:iCs/>
                <w:sz w:val="20"/>
                <w:szCs w:val="20"/>
                <w:lang w:val="en-ID"/>
              </w:rPr>
              <w:t xml:space="preserve"> triglycerides</w:t>
            </w:r>
          </w:p>
          <w:p w14:paraId="6EA1A685" w14:textId="77777777" w:rsidR="00A454FF" w:rsidRDefault="00A454FF" w:rsidP="000E5D99">
            <w:pPr>
              <w:jc w:val="both"/>
              <w:rPr>
                <w:b/>
                <w:bCs/>
                <w:sz w:val="20"/>
                <w:szCs w:val="20"/>
              </w:rPr>
            </w:pPr>
          </w:p>
          <w:p w14:paraId="556CA5D4" w14:textId="77777777" w:rsidR="00456D48" w:rsidRDefault="004B6A4E" w:rsidP="003C5562">
            <w:pPr>
              <w:pStyle w:val="TableParagraph"/>
            </w:pPr>
            <w:r w:rsidRPr="003C5562">
              <w:rPr>
                <w:b/>
                <w:bCs/>
                <w:sz w:val="20"/>
                <w:szCs w:val="20"/>
              </w:rPr>
              <w:t>CONTACT</w:t>
            </w:r>
            <w:r w:rsidR="00456D48">
              <w:t xml:space="preserve"> </w:t>
            </w:r>
          </w:p>
          <w:p w14:paraId="76FDDBF9" w14:textId="77777777" w:rsidR="0041199F" w:rsidRPr="0041199F" w:rsidRDefault="0041199F" w:rsidP="0041199F">
            <w:pPr>
              <w:jc w:val="both"/>
              <w:rPr>
                <w:bCs/>
                <w:sz w:val="20"/>
                <w:szCs w:val="20"/>
              </w:rPr>
            </w:pPr>
            <w:r w:rsidRPr="0041199F">
              <w:rPr>
                <w:bCs/>
                <w:sz w:val="20"/>
                <w:szCs w:val="20"/>
              </w:rPr>
              <w:t>Damar Galih</w:t>
            </w:r>
          </w:p>
          <w:p w14:paraId="03ECC4D7" w14:textId="77777777" w:rsidR="0041199F" w:rsidRPr="0041199F" w:rsidRDefault="0041199F" w:rsidP="0041199F">
            <w:pPr>
              <w:numPr>
                <w:ilvl w:val="0"/>
                <w:numId w:val="14"/>
              </w:numPr>
              <w:tabs>
                <w:tab w:val="num" w:pos="373"/>
              </w:tabs>
              <w:ind w:hanging="720"/>
              <w:contextualSpacing/>
              <w:jc w:val="both"/>
              <w:rPr>
                <w:bCs/>
                <w:sz w:val="20"/>
                <w:szCs w:val="20"/>
              </w:rPr>
            </w:pPr>
          </w:p>
          <w:p w14:paraId="2D481671" w14:textId="77777777" w:rsidR="0041199F" w:rsidRPr="0041199F" w:rsidRDefault="0041199F" w:rsidP="0041199F">
            <w:pPr>
              <w:jc w:val="both"/>
              <w:rPr>
                <w:bCs/>
                <w:sz w:val="20"/>
                <w:szCs w:val="20"/>
              </w:rPr>
            </w:pPr>
            <w:hyperlink r:id="rId10" w:history="1">
              <w:r w:rsidRPr="0041199F">
                <w:rPr>
                  <w:bCs/>
                  <w:color w:val="0000FF"/>
                  <w:sz w:val="20"/>
                  <w:szCs w:val="20"/>
                  <w:u w:val="single"/>
                </w:rPr>
                <w:t>damardegi@students.unnes.ac.id</w:t>
              </w:r>
            </w:hyperlink>
            <w:r w:rsidRPr="0041199F">
              <w:rPr>
                <w:bCs/>
                <w:sz w:val="20"/>
                <w:szCs w:val="20"/>
              </w:rPr>
              <w:t xml:space="preserve"> </w:t>
            </w:r>
          </w:p>
          <w:p w14:paraId="5FD02016" w14:textId="77777777" w:rsidR="0041199F" w:rsidRDefault="0041199F" w:rsidP="0041199F">
            <w:pPr>
              <w:jc w:val="both"/>
              <w:rPr>
                <w:bCs/>
                <w:iCs/>
                <w:sz w:val="18"/>
                <w:szCs w:val="18"/>
              </w:rPr>
            </w:pPr>
            <w:r w:rsidRPr="0041199F">
              <w:rPr>
                <w:bCs/>
                <w:iCs/>
                <w:sz w:val="18"/>
                <w:szCs w:val="18"/>
              </w:rPr>
              <w:t>Department of Biology Semarang State University</w:t>
            </w:r>
          </w:p>
          <w:p w14:paraId="21BC060B" w14:textId="4E6BDF3B" w:rsidR="0049094D" w:rsidRDefault="0041199F" w:rsidP="0041199F">
            <w:pPr>
              <w:jc w:val="both"/>
              <w:rPr>
                <w:bCs/>
                <w:iCs/>
                <w:sz w:val="18"/>
                <w:szCs w:val="18"/>
              </w:rPr>
            </w:pPr>
            <w:r w:rsidRPr="0041199F">
              <w:rPr>
                <w:bCs/>
                <w:iCs/>
                <w:sz w:val="18"/>
                <w:szCs w:val="18"/>
              </w:rPr>
              <w:t>Sekaran, Kec. Gunung Pati, Kota Semarang, Jawa Tengah, Indonesia</w:t>
            </w:r>
          </w:p>
          <w:p w14:paraId="43AA5B0C" w14:textId="77777777" w:rsidR="0041199F" w:rsidRPr="0041199F" w:rsidRDefault="0041199F" w:rsidP="0041199F">
            <w:pPr>
              <w:jc w:val="both"/>
              <w:rPr>
                <w:bCs/>
                <w:iCs/>
                <w:sz w:val="18"/>
                <w:szCs w:val="18"/>
              </w:rPr>
            </w:pPr>
          </w:p>
          <w:p w14:paraId="75F0EDF5" w14:textId="77777777" w:rsidR="006D1A70" w:rsidRDefault="006D1A70" w:rsidP="006D1A70">
            <w:pPr>
              <w:pBdr>
                <w:top w:val="nil"/>
                <w:left w:val="nil"/>
                <w:bottom w:val="nil"/>
                <w:right w:val="nil"/>
                <w:between w:val="nil"/>
              </w:pBdr>
              <w:jc w:val="both"/>
              <w:rPr>
                <w:rFonts w:eastAsia="Times New Roman"/>
                <w:sz w:val="20"/>
                <w:szCs w:val="20"/>
              </w:rPr>
            </w:pPr>
            <w:r>
              <w:rPr>
                <w:noProof/>
                <w:sz w:val="17"/>
                <w:lang w:eastAsia="en-US"/>
              </w:rPr>
              <w:drawing>
                <wp:anchor distT="0" distB="0" distL="0" distR="0" simplePos="0" relativeHeight="251659264" behindDoc="1" locked="0" layoutInCell="1" allowOverlap="1" wp14:anchorId="17B589D9" wp14:editId="2A75F7B1">
                  <wp:simplePos x="0" y="0"/>
                  <wp:positionH relativeFrom="page">
                    <wp:posOffset>76200</wp:posOffset>
                  </wp:positionH>
                  <wp:positionV relativeFrom="paragraph">
                    <wp:posOffset>99060</wp:posOffset>
                  </wp:positionV>
                  <wp:extent cx="780415" cy="297815"/>
                  <wp:effectExtent l="0" t="0" r="635" b="6985"/>
                  <wp:wrapTopAndBottom/>
                  <wp:docPr id="7" name="Image 7"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reative Commons License"/>
                          <pic:cNvPicPr/>
                        </pic:nvPicPr>
                        <pic:blipFill>
                          <a:blip r:embed="rId11" cstate="print"/>
                          <a:stretch>
                            <a:fillRect/>
                          </a:stretch>
                        </pic:blipFill>
                        <pic:spPr>
                          <a:xfrm>
                            <a:off x="0" y="0"/>
                            <a:ext cx="780415" cy="297815"/>
                          </a:xfrm>
                          <a:prstGeom prst="rect">
                            <a:avLst/>
                          </a:prstGeom>
                        </pic:spPr>
                      </pic:pic>
                    </a:graphicData>
                  </a:graphic>
                </wp:anchor>
              </w:drawing>
            </w:r>
          </w:p>
          <w:p w14:paraId="36E5B90E" w14:textId="77777777" w:rsidR="006D1A70" w:rsidRPr="006C21A7" w:rsidRDefault="006D1A70" w:rsidP="006D1A70">
            <w:pPr>
              <w:pStyle w:val="ListParagraph"/>
              <w:ind w:left="0"/>
              <w:jc w:val="both"/>
              <w:rPr>
                <w:bCs/>
                <w:iCs/>
                <w:sz w:val="18"/>
                <w:szCs w:val="18"/>
              </w:rPr>
            </w:pPr>
            <w:r>
              <w:rPr>
                <w:rFonts w:eastAsia="Times New Roman"/>
                <w:sz w:val="20"/>
                <w:szCs w:val="20"/>
              </w:rPr>
              <w:t xml:space="preserve">This article is an open </w:t>
            </w:r>
            <w:r>
              <w:rPr>
                <w:sz w:val="20"/>
              </w:rPr>
              <w:t xml:space="preserve">access article licensed under </w:t>
            </w:r>
            <w:hyperlink r:id="rId12">
              <w:r>
                <w:rPr>
                  <w:color w:val="0000FF"/>
                  <w:sz w:val="20"/>
                  <w:u w:val="single" w:color="0000FF"/>
                </w:rPr>
                <w:t>Creative</w:t>
              </w:r>
            </w:hyperlink>
            <w:r>
              <w:rPr>
                <w:color w:val="0000FF"/>
                <w:sz w:val="20"/>
              </w:rPr>
              <w:t xml:space="preserve"> </w:t>
            </w:r>
            <w:hyperlink r:id="rId13">
              <w:r>
                <w:rPr>
                  <w:color w:val="0000FF"/>
                  <w:sz w:val="20"/>
                  <w:u w:val="single" w:color="0000FF"/>
                </w:rPr>
                <w:t>Commons Attribution 4.0</w:t>
              </w:r>
            </w:hyperlink>
            <w:r>
              <w:rPr>
                <w:color w:val="0000FF"/>
                <w:sz w:val="20"/>
              </w:rPr>
              <w:t xml:space="preserve"> </w:t>
            </w:r>
            <w:hyperlink r:id="rId14">
              <w:r>
                <w:rPr>
                  <w:color w:val="0000FF"/>
                  <w:sz w:val="20"/>
                  <w:u w:val="single" w:color="0000FF"/>
                </w:rPr>
                <w:t>International License (CC BY</w:t>
              </w:r>
            </w:hyperlink>
            <w:r>
              <w:rPr>
                <w:color w:val="0000FF"/>
                <w:sz w:val="20"/>
              </w:rPr>
              <w:t xml:space="preserve"> </w:t>
            </w:r>
            <w:hyperlink r:id="rId15">
              <w:r>
                <w:rPr>
                  <w:color w:val="0000FF"/>
                  <w:spacing w:val="-4"/>
                  <w:sz w:val="20"/>
                  <w:u w:val="single" w:color="0000FF"/>
                </w:rPr>
                <w:t>4.0)</w:t>
              </w:r>
            </w:hyperlink>
          </w:p>
        </w:tc>
      </w:tr>
    </w:tbl>
    <w:p w14:paraId="608F1703" w14:textId="77777777" w:rsidR="005E0C8D" w:rsidRPr="006D1A70" w:rsidRDefault="005E0C8D" w:rsidP="000E5D99">
      <w:pPr>
        <w:rPr>
          <w:bCs/>
          <w:szCs w:val="20"/>
        </w:rPr>
      </w:pPr>
    </w:p>
    <w:p w14:paraId="6C72B9C2" w14:textId="61B8169F" w:rsidR="003C5562" w:rsidRDefault="003C5562" w:rsidP="00B86EDD">
      <w:pPr>
        <w:ind w:left="1134" w:hanging="1134"/>
        <w:jc w:val="both"/>
        <w:rPr>
          <w:color w:val="333333"/>
          <w:sz w:val="20"/>
          <w:szCs w:val="21"/>
          <w:shd w:val="clear" w:color="auto" w:fill="FFFFFF"/>
        </w:rPr>
      </w:pPr>
      <w:r>
        <w:rPr>
          <w:b/>
          <w:sz w:val="20"/>
        </w:rPr>
        <w:t>Cite this as</w:t>
      </w:r>
      <w:r w:rsidRPr="00EB7201">
        <w:rPr>
          <w:b/>
          <w:sz w:val="20"/>
          <w:szCs w:val="20"/>
        </w:rPr>
        <w:t>:</w:t>
      </w:r>
      <w:r w:rsidR="001C7FBA" w:rsidRPr="00EB7201">
        <w:rPr>
          <w:b/>
          <w:sz w:val="20"/>
          <w:szCs w:val="20"/>
        </w:rPr>
        <w:t xml:space="preserve"> </w:t>
      </w:r>
      <w:r w:rsidR="00A454FF" w:rsidRPr="00A454FF">
        <w:rPr>
          <w:color w:val="333333"/>
          <w:sz w:val="20"/>
          <w:szCs w:val="20"/>
          <w:shd w:val="clear" w:color="auto" w:fill="FFFFFF"/>
        </w:rPr>
        <w:t>Galih, D., Indriyani, I., Septiningtyas, S. D., Christijanti, W., Susanti, R., &amp; Marianti, A.</w:t>
      </w:r>
      <w:r w:rsidR="00A454FF" w:rsidRPr="00A454FF">
        <w:rPr>
          <w:color w:val="333333"/>
          <w:sz w:val="20"/>
          <w:szCs w:val="20"/>
          <w:shd w:val="clear" w:color="auto" w:fill="FFFFFF"/>
        </w:rPr>
        <w:t xml:space="preserve"> </w:t>
      </w:r>
      <w:r w:rsidR="00B86EDD" w:rsidRPr="00EB7201">
        <w:rPr>
          <w:color w:val="333333"/>
          <w:sz w:val="20"/>
          <w:szCs w:val="20"/>
          <w:shd w:val="clear" w:color="auto" w:fill="FFFFFF"/>
        </w:rPr>
        <w:t>(202</w:t>
      </w:r>
      <w:r w:rsidR="00456D48" w:rsidRPr="00EB7201">
        <w:rPr>
          <w:color w:val="333333"/>
          <w:sz w:val="20"/>
          <w:szCs w:val="20"/>
          <w:shd w:val="clear" w:color="auto" w:fill="FFFFFF"/>
        </w:rPr>
        <w:t>6</w:t>
      </w:r>
      <w:r w:rsidR="00B86EDD" w:rsidRPr="00EB7201">
        <w:rPr>
          <w:color w:val="333333"/>
          <w:sz w:val="20"/>
          <w:szCs w:val="20"/>
          <w:shd w:val="clear" w:color="auto" w:fill="FFFFFF"/>
        </w:rPr>
        <w:t xml:space="preserve">). </w:t>
      </w:r>
      <w:r w:rsidR="00A454FF" w:rsidRPr="00A454FF">
        <w:rPr>
          <w:color w:val="333333"/>
          <w:sz w:val="20"/>
          <w:szCs w:val="20"/>
          <w:shd w:val="clear" w:color="auto" w:fill="FFFFFF"/>
        </w:rPr>
        <w:t>Effects of Green Tea Extract (Camellia sinensis L.) on Blood Biochemical Parameters in Paracetamol-Induced Wistar Rats</w:t>
      </w:r>
      <w:r w:rsidR="00B86EDD" w:rsidRPr="00EB7201">
        <w:rPr>
          <w:color w:val="333333"/>
          <w:sz w:val="20"/>
          <w:szCs w:val="20"/>
          <w:shd w:val="clear" w:color="auto" w:fill="FFFFFF"/>
        </w:rPr>
        <w:t xml:space="preserve">. </w:t>
      </w:r>
      <w:r w:rsidR="00B86EDD" w:rsidRPr="00EB7201">
        <w:rPr>
          <w:i/>
          <w:iCs/>
          <w:color w:val="333333"/>
          <w:sz w:val="20"/>
          <w:szCs w:val="20"/>
          <w:shd w:val="clear" w:color="auto" w:fill="FFFFFF"/>
        </w:rPr>
        <w:t>Jurnal Kebidanan dan Kesehatan Tradisional</w:t>
      </w:r>
      <w:r w:rsidR="00B86EDD" w:rsidRPr="00EB7201">
        <w:rPr>
          <w:color w:val="333333"/>
          <w:sz w:val="20"/>
          <w:szCs w:val="20"/>
          <w:shd w:val="clear" w:color="auto" w:fill="FFFFFF"/>
        </w:rPr>
        <w:t xml:space="preserve">, 11(1), </w:t>
      </w:r>
      <w:r w:rsidR="00A454FF">
        <w:rPr>
          <w:color w:val="333333"/>
          <w:sz w:val="20"/>
          <w:szCs w:val="20"/>
          <w:shd w:val="clear" w:color="auto" w:fill="FFFFFF"/>
        </w:rPr>
        <w:t>64-</w:t>
      </w:r>
      <w:r w:rsidR="00C128B2">
        <w:rPr>
          <w:color w:val="333333"/>
          <w:sz w:val="20"/>
          <w:szCs w:val="20"/>
          <w:shd w:val="clear" w:color="auto" w:fill="FFFFFF"/>
        </w:rPr>
        <w:t>7</w:t>
      </w:r>
      <w:r w:rsidR="0041199F">
        <w:rPr>
          <w:color w:val="333333"/>
          <w:sz w:val="20"/>
          <w:szCs w:val="20"/>
          <w:shd w:val="clear" w:color="auto" w:fill="FFFFFF"/>
        </w:rPr>
        <w:t>4</w:t>
      </w:r>
      <w:r w:rsidR="00B86EDD" w:rsidRPr="00EB7201">
        <w:rPr>
          <w:color w:val="333333"/>
          <w:sz w:val="20"/>
          <w:szCs w:val="20"/>
          <w:shd w:val="clear" w:color="auto" w:fill="FFFFFF"/>
        </w:rPr>
        <w:t xml:space="preserve">. </w:t>
      </w:r>
      <w:hyperlink r:id="rId16" w:history="1">
        <w:r w:rsidR="00A57EAE" w:rsidRPr="0003317B">
          <w:rPr>
            <w:rStyle w:val="Hyperlink"/>
            <w:sz w:val="20"/>
            <w:szCs w:val="20"/>
          </w:rPr>
          <w:t>https://doi.org/10.37341/jkkt.v11i1.650</w:t>
        </w:r>
      </w:hyperlink>
      <w:r w:rsidR="00A57EAE">
        <w:rPr>
          <w:sz w:val="20"/>
          <w:szCs w:val="20"/>
        </w:rPr>
        <w:t xml:space="preserve"> </w:t>
      </w:r>
      <w:r w:rsidR="001A07A3">
        <w:rPr>
          <w:sz w:val="20"/>
          <w:szCs w:val="20"/>
        </w:rPr>
        <w:t xml:space="preserve"> </w:t>
      </w:r>
      <w:r w:rsidR="0041084E">
        <w:rPr>
          <w:sz w:val="20"/>
          <w:szCs w:val="20"/>
        </w:rPr>
        <w:t xml:space="preserve"> </w:t>
      </w:r>
      <w:r w:rsidR="00EB7201">
        <w:rPr>
          <w:sz w:val="20"/>
          <w:szCs w:val="20"/>
        </w:rPr>
        <w:t xml:space="preserve"> </w:t>
      </w:r>
      <w:r w:rsidR="00B86EDD">
        <w:rPr>
          <w:color w:val="333333"/>
          <w:sz w:val="20"/>
          <w:szCs w:val="21"/>
          <w:shd w:val="clear" w:color="auto" w:fill="FFFFFF"/>
        </w:rPr>
        <w:t xml:space="preserve"> </w:t>
      </w:r>
    </w:p>
    <w:p w14:paraId="3B5D608F" w14:textId="77777777" w:rsidR="00461C4F" w:rsidRDefault="00461C4F" w:rsidP="000E5D99">
      <w:pPr>
        <w:jc w:val="both"/>
        <w:rPr>
          <w:b/>
          <w:bCs/>
        </w:rPr>
      </w:pPr>
    </w:p>
    <w:p w14:paraId="17DD8EB9" w14:textId="27A724DB" w:rsidR="00686571" w:rsidRPr="006C21A7" w:rsidRDefault="00686571" w:rsidP="000E5D99">
      <w:pPr>
        <w:jc w:val="both"/>
        <w:rPr>
          <w:b/>
          <w:bCs/>
        </w:rPr>
      </w:pPr>
      <w:r w:rsidRPr="006C21A7">
        <w:rPr>
          <w:b/>
          <w:bCs/>
        </w:rPr>
        <w:t>INTRODUCTION</w:t>
      </w:r>
    </w:p>
    <w:p w14:paraId="6D5A32DE" w14:textId="77777777" w:rsidR="00A454FF" w:rsidRPr="009A3574" w:rsidRDefault="00A454FF" w:rsidP="00A454FF">
      <w:pPr>
        <w:suppressAutoHyphens w:val="0"/>
        <w:autoSpaceDE w:val="0"/>
        <w:autoSpaceDN w:val="0"/>
        <w:adjustRightInd w:val="0"/>
        <w:ind w:firstLine="567"/>
        <w:jc w:val="both"/>
        <w:rPr>
          <w:rFonts w:eastAsia="Calibri"/>
          <w:iCs/>
          <w:lang w:eastAsia="en-US"/>
        </w:rPr>
      </w:pPr>
      <w:r w:rsidRPr="009A3574">
        <w:rPr>
          <w:rFonts w:eastAsia="Calibri"/>
          <w:iCs/>
          <w:lang w:eastAsia="en-US"/>
        </w:rPr>
        <w:t xml:space="preserve">The widespread consumption of paracetamol (acetaminophen) as an over-the-counter analgesic and antipyretic agent poses a significant risk of liver damage. At therapeutic doses, paracetamol is predominantly metabolized through glucuronidation </w:t>
      </w:r>
      <w:r w:rsidRPr="009A3574">
        <w:rPr>
          <w:rFonts w:eastAsia="Calibri"/>
          <w:iCs/>
          <w:lang w:eastAsia="en-US"/>
        </w:rPr>
        <w:lastRenderedPageBreak/>
        <w:t>and sulfation. Conversely, under conditions of high-dose or prolonged administration, the cytochrome P450 enzyme system, specifically CYP2E1, becomes more active, generating a highly reactive metabolite</w:t>
      </w:r>
      <w:r w:rsidRPr="009A3574">
        <w:rPr>
          <w:rFonts w:eastAsia="Calibri"/>
          <w:i/>
          <w:lang w:eastAsia="en-US"/>
        </w:rPr>
        <w:t>: N-acetyl-p-benzoquinoneimine</w:t>
      </w:r>
      <w:r w:rsidRPr="009A3574">
        <w:rPr>
          <w:rFonts w:eastAsia="Calibri"/>
          <w:iCs/>
          <w:lang w:eastAsia="en-US"/>
        </w:rPr>
        <w:t xml:space="preserve"> (NAPQI) </w:t>
      </w:r>
      <w:r>
        <w:rPr>
          <w:rFonts w:eastAsia="Calibri"/>
          <w:iCs/>
          <w:lang w:eastAsia="en-US"/>
        </w:rPr>
        <w:fldChar w:fldCharType="begin" w:fldLock="1"/>
      </w:r>
      <w:r>
        <w:rPr>
          <w:rFonts w:eastAsia="Calibri"/>
          <w:iCs/>
          <w:lang w:eastAsia="en-US"/>
        </w:rPr>
        <w:instrText>ADDIN CSL_CITATION {"citationItems":[{"id":"ITEM-1","itemData":{"DOI":"10.1111/bcp.15596","ISBN":"1988121531","ISSN":"13652125","PMID":"36471568","abstract":"Fomepizole is a promising new treatment for preventing liver injury following paracetamol (acetaminophen) overdose. However, we need robust clinical trials to be performed to demonstrate its effect on clinical outcomes that are important to our patients and important to healthcare providers. Until such trials are performed, the toxicology community should learn the lessons from the COVID pandemic—potential novel therapeutic options may be theoretically appealing, but their effectiveness needs to be assessed in robust clinical trials before they are used in clinical practice.","author":[{"dropping-particle":"","family":"Dear","given":"James W.","non-dropping-particle":"","parse-names":false,"suffix":""}],"container-title":"British Journal of Clinical Pharmacology","id":"ITEM-1","issue":"2","issued":{"date-parts":[["2023"]]},"page":"599-601","title":"Fomepizole should not be used more liberally in paracetamol overdose","type":"article-journal","volume":"89"},"uris":["http://www.mendeley.com/documents/?uuid=d393e4f4-5741-461f-b3d0-64b9175a1170"]}],"mendeley":{"formattedCitation":"(Dear, 2023)","plainTextFormattedCitation":"(Dear, 2023)","previouslyFormattedCitation":"(Dear, 2023)"},"properties":{"noteIndex":0},"schema":"https://github.com/citation-style-language/schema/raw/master/csl-citation.json"}</w:instrText>
      </w:r>
      <w:r>
        <w:rPr>
          <w:rFonts w:eastAsia="Calibri"/>
          <w:iCs/>
          <w:lang w:eastAsia="en-US"/>
        </w:rPr>
        <w:fldChar w:fldCharType="separate"/>
      </w:r>
      <w:r w:rsidRPr="00F460F8">
        <w:rPr>
          <w:rFonts w:eastAsia="Calibri"/>
          <w:iCs/>
          <w:noProof/>
          <w:lang w:eastAsia="en-US"/>
        </w:rPr>
        <w:t>(Dear, 2023)</w:t>
      </w:r>
      <w:r>
        <w:rPr>
          <w:rFonts w:eastAsia="Calibri"/>
          <w:iCs/>
          <w:lang w:eastAsia="en-US"/>
        </w:rPr>
        <w:fldChar w:fldCharType="end"/>
      </w:r>
      <w:r w:rsidRPr="009A3574">
        <w:rPr>
          <w:rFonts w:eastAsia="Calibri"/>
          <w:iCs/>
          <w:lang w:eastAsia="en-US"/>
        </w:rPr>
        <w:t xml:space="preserve">. Normally, NAPQI is conjugated and detoxified by hepatic glutathione (GSH) to form </w:t>
      </w:r>
      <w:r w:rsidRPr="00F460F8">
        <w:rPr>
          <w:rFonts w:eastAsia="Calibri"/>
          <w:i/>
          <w:lang w:eastAsia="en-US"/>
        </w:rPr>
        <w:t>3-(glutathione-S-yl)-APAP</w:t>
      </w:r>
      <w:r w:rsidRPr="009A3574">
        <w:rPr>
          <w:rFonts w:eastAsia="Calibri"/>
          <w:iCs/>
          <w:lang w:eastAsia="en-US"/>
        </w:rPr>
        <w:t>. However, excessive or long-term paracetamol intake leads to a rapid depletion of GSH reserves. This lowering prevents adequate detoxification of NAPQI, initiating oxidative stress, mitochondrial dysfunction, and ultimately leading to hepatocellular necrosis and acute liver failure</w:t>
      </w:r>
      <w:r>
        <w:rPr>
          <w:rFonts w:eastAsia="Calibri"/>
          <w:iCs/>
          <w:lang w:eastAsia="en-US"/>
        </w:rPr>
        <w:t xml:space="preserve"> </w:t>
      </w:r>
      <w:r>
        <w:rPr>
          <w:rFonts w:eastAsia="Calibri"/>
          <w:iCs/>
          <w:lang w:eastAsia="en-US"/>
        </w:rPr>
        <w:fldChar w:fldCharType="begin" w:fldLock="1"/>
      </w:r>
      <w:r>
        <w:rPr>
          <w:rFonts w:eastAsia="Calibri"/>
          <w:iCs/>
          <w:lang w:eastAsia="en-US"/>
        </w:rPr>
        <w:instrText>ADDIN CSL_CITATION {"citationItems":[{"id":"ITEM-1","itemData":{"DOI":"10.1080/23328940.2021.1886392","ISSN":"23328959","abstract":"Paracetamol (acetaminophen) is undoubtedly one of the most widely used drugs worldwide. As an over-the-counter medication, paracetamol is the standard and first-line treatment for fever and acute pain and is believed to remain so for many years to come. Despite being in clinical use for over a century, the precise mechanism of action of this familiar drug remains a mystery. The oldest and most prevailing theory on the mechanism of analgesic and antipyretic actions of paracetamol relates to the inhibition of CNS cyclooxygenase (COX) enzyme activities, with conflicting views on the COX isoenzyme/variant targeted by paracetamol and on the nature of the molecular interactions with these enzymes. Paracetamol has been proposed to selectively inhibit COX-2 by working as a reducing agent, despite the fact that in vitro screens demonstrate low potency on the inhibition of COX-1 and COX-2. In vivo data from COX-1 transgenic mice suggest that paracetamol works through inhibition of a COX-1 variant enzyme to mediate its analgesic and particularly thermoregulatory actions (antipyresis and hypothermia). A separate line of research provides evidence on potentiation of the descending inhibitory serotonergic pathway to mediate the analgesic action of paracetamol, but with no evidence of binding to serotonergic molecules. AM404 as a metabolite for paracetamol has been proposed to activate the endocannabinoid and the transient receptor potential vanilloid-1 (TRPV1) systems. The current review gives an update and in some cases challenges the different theories on the pharmacology of paracetamol and raises questions on some of the inadequately explored actions of paracetamol. List of Abbreviations: AM404, N-(4-hydroxyphenyl)-arachidonamide; CB1R, Cannabinoid receptor-1; Cmax, Maximum concentration; CNS, Central nervous system; COX, Cyclooxygenase; CSF, Cerebrospinal fluid; ED50, 50% of maximal effective dose; FAAH, Fatty acid amidohydrolase; IC50, 50% of the maximal inhibitor concentration; LPS, Lipopolysaccharide; NSAIDs, Non-steroidal anti-inflammatory drugs; PGE2, Prostaglandin E2; TRPV1, Transient receptor potential vanilloid-1.","author":[{"dropping-particle":"","family":"Ayoub","given":"Samir S.","non-dropping-particle":"","parse-names":false,"suffix":""}],"container-title":"Temperature","id":"ITEM-1","issue":"4","issued":{"date-parts":[["2021"]]},"page":"351-371","publisher":"Taylor &amp; Francis","title":"Paracetamol (acetaminophen): A familiar drug with an unexplained mechanism of action","type":"article-journal","volume":"8"},"uris":["http://www.mendeley.com/documents/?uuid=f0585fdf-6062-44d5-a060-7bd388592fd6"]},{"id":"ITEM-2","itemData":{"author":[{"dropping-particle":"","family":"Shivam","given":"Kumari Shiwani","non-dropping-particle":"","parse-names":false,"suffix":""},{"dropping-particle":"","family":"Gourav","given":"Divyansh Kumar","non-dropping-particle":"","parse-names":false,"suffix":""},{"dropping-particle":"","family":"Kumar","given":"Manish","non-dropping-particle":"","parse-names":false,"suffix":""},{"dropping-particle":"","family":"Prajapati","given":"Kumar","non-dropping-particle":"","parse-names":false,"suffix":""},{"dropping-particle":"","family":"Nag","given":"Gourav","non-dropping-particle":"","parse-names":false,"suffix":""},{"dropping-particle":"","family":"Verma","given":"Adarsh","non-dropping-particle":"","parse-names":false,"suffix":""},{"dropping-particle":"","family":"Kumar","given":"Mithun","non-dropping-particle":"","parse-names":false,"suffix":""},{"dropping-particle":"","family":"Minz","given":"Shridhar","non-dropping-particle":"","parse-names":false,"suffix":""},{"dropping-particle":"","family":"Yadav","given":"Jitendra Kumar","non-dropping-particle":"","parse-names":false,"suffix":""},{"dropping-particle":"","family":"Kumari","given":"Tamanna","non-dropping-particle":"","parse-names":false,"suffix":""},{"dropping-particle":"","family":"Singh","given":"Kumar","non-dropping-particle":"","parse-names":false,"suffix":""},{"dropping-particle":"","family":"Kumari","given":"Puja","non-dropping-particle":"","parse-names":false,"suffix":""},{"dropping-particle":"","family":"Gupta","given":"Praveen Kumar","non-dropping-particle":"","parse-names":false,"suffix":""},{"dropping-particle":"","family":"Kumari","given":"Kajal","non-dropping-particle":"","parse-names":false,"suffix":""}],"id":"ITEM-2","issue":"7","issued":{"date-parts":[["2025"]]},"page":"427-436","title":"Paracetamol-Induced Toxicity : A Review of the Side Effects Associated with Excessive Consumption and Mishandling","type":"article-journal","volume":"2"},"uris":["http://www.mendeley.com/documents/?uuid=9ed59a9a-c337-4bd3-a45e-eb4d515c41dd"]},{"id":"ITEM-3","itemData":{"DOI":"10.1371/journal.pone.0229070","ISBN":"1111111111","ISSN":"19326203","PMID":"32130228","abstract":"Acetaminophen is one of the most commonly consumed analgesics world wide. Generally perceived as a safe medication, it is the most common cause of acute liver failure in the United States with inadvertent hepatotoxicity in half of all cases. We therefore conducted a survey on the public perceptions of acetaminophen in patients attending the outpatient clinic in Vancouver, Canada. Among 928 patients who were asked, 765 completed the survey questionnaire. The majority of respondents were female (59%), Caucasian (61%), and educated beyond the secondary school level (81%). 23% reported using acetaminophen at least once a week. A significant minority were unaware of the potential liver toxicity of acetaminophen (24%), and knowledge of hepatotoxicity did not vary with education status. In terms of the medicinal composition of acetaminophen products, over half of the respondents (58%) did not know that extra strength preparations of acetaminophen contained the same drug but in a different dose. This knowledge was more prevalent among those with higher level of education (49% in graduate school educated respondents), but was still low overall. The knowledge that alcohol use with acetaminophen was more harmful was low (43%), but improved with level of education (P for trend 0.03). Among respondents who consumed alcohol regularly, 21% were consuming over 1.5 grams of acetaminophen at a time. These patients had similar harm perception to liver as patients who consumed lower doses of acetaminophen. Overall, in a large, well-educated cohort of patients, knowledge about the adverse effects of acetaminophen, the additional risks with alcohol and composition of various retailed products was suboptimal. We speculate that consumer ignorance is a significant reason why acetaminophen is a leading cause of acute liver failure.","author":[{"dropping-particle":"","family":"Mitchell","given":"Robert A.","non-dropping-particle":"","parse-names":false,"suffix":""},{"dropping-particle":"","family":"Rathi","given":"Sahaj","non-dropping-particle":"","parse-names":false,"suffix":""},{"dropping-particle":"","family":"Dahiya","given":"Monica","non-dropping-particle":"","parse-names":false,"suffix":""},{"dropping-particle":"","family":"Zhu","given":"Julie","non-dropping-particle":"","parse-names":false,"suffix":""},{"dropping-particle":"","family":"Hussaini","given":"Trana","non-dropping-particle":"","parse-names":false,"suffix":""},{"dropping-particle":"","family":"Yoshida","given":"Eric M.","non-dropping-particle":"","parse-names":false,"suffix":""}],"container-title":"PLoS ONE","id":"ITEM-3","issue":"3","issued":{"date-parts":[["2020"]]},"page":"1-9","title":"Public awareness of acetaminophen and risks of drug induced liver injury: Results of a large outpatient clinic survey","type":"article-journal","volume":"15"},"uris":["http://www.mendeley.com/documents/?uuid=b5fc9fdd-0ade-40ad-ba89-0e8bc590068d"]}],"mendeley":{"formattedCitation":"(Ayoub, 2021; Mitchell et al., 2020; Shivam et al., 2025)","plainTextFormattedCitation":"(Ayoub, 2021; Mitchell et al., 2020; Shivam et al., 2025)","previouslyFormattedCitation":"(Ayoub, 2021; Mitchell et al., 2020; Shivam et al., 2025)"},"properties":{"noteIndex":0},"schema":"https://github.com/citation-style-language/schema/raw/master/csl-citation.json"}</w:instrText>
      </w:r>
      <w:r>
        <w:rPr>
          <w:rFonts w:eastAsia="Calibri"/>
          <w:iCs/>
          <w:lang w:eastAsia="en-US"/>
        </w:rPr>
        <w:fldChar w:fldCharType="separate"/>
      </w:r>
      <w:r w:rsidRPr="00B20091">
        <w:rPr>
          <w:rFonts w:eastAsia="Calibri"/>
          <w:iCs/>
          <w:noProof/>
          <w:lang w:eastAsia="en-US"/>
        </w:rPr>
        <w:t>(Ayoub, 2021; Mitchell et al., 2020; Shivam et al., 2025)</w:t>
      </w:r>
      <w:r>
        <w:rPr>
          <w:rFonts w:eastAsia="Calibri"/>
          <w:iCs/>
          <w:lang w:eastAsia="en-US"/>
        </w:rPr>
        <w:fldChar w:fldCharType="end"/>
      </w:r>
      <w:r>
        <w:rPr>
          <w:rFonts w:eastAsia="Calibri"/>
          <w:iCs/>
          <w:lang w:eastAsia="en-US"/>
        </w:rPr>
        <w:t>.</w:t>
      </w:r>
    </w:p>
    <w:p w14:paraId="6F26F967" w14:textId="77777777" w:rsidR="00A454FF" w:rsidRDefault="00A454FF" w:rsidP="00A454FF">
      <w:pPr>
        <w:suppressAutoHyphens w:val="0"/>
        <w:autoSpaceDE w:val="0"/>
        <w:autoSpaceDN w:val="0"/>
        <w:adjustRightInd w:val="0"/>
        <w:ind w:firstLine="567"/>
        <w:jc w:val="both"/>
        <w:rPr>
          <w:rFonts w:eastAsia="Calibri"/>
          <w:iCs/>
          <w:lang w:eastAsia="en-US"/>
        </w:rPr>
      </w:pPr>
      <w:r w:rsidRPr="009A3574">
        <w:rPr>
          <w:rFonts w:eastAsia="Calibri"/>
          <w:iCs/>
          <w:lang w:eastAsia="en-US"/>
        </w:rPr>
        <w:t xml:space="preserve">Oral administration of paracetamol to Wistar rats at a dose of 600 mg/kg </w:t>
      </w:r>
      <w:r>
        <w:rPr>
          <w:rFonts w:eastAsia="Calibri"/>
          <w:iCs/>
          <w:lang w:eastAsia="en-US"/>
        </w:rPr>
        <w:t>bw</w:t>
      </w:r>
      <w:r w:rsidRPr="009A3574">
        <w:rPr>
          <w:rFonts w:eastAsia="Calibri"/>
          <w:iCs/>
          <w:lang w:eastAsia="en-US"/>
        </w:rPr>
        <w:t xml:space="preserve"> resulted in increased levels of AST and ALT, total protein, and bilirubin in the blood. This indicates that liver cell damage is occurring due to the metabolite NAPQI</w:t>
      </w:r>
      <w:r>
        <w:rPr>
          <w:rFonts w:eastAsia="Calibri"/>
          <w:iCs/>
          <w:lang w:eastAsia="en-US"/>
        </w:rPr>
        <w:t xml:space="preserve"> </w:t>
      </w:r>
      <w:r>
        <w:rPr>
          <w:rFonts w:eastAsia="Calibri"/>
          <w:iCs/>
          <w:lang w:eastAsia="en-US"/>
        </w:rPr>
        <w:fldChar w:fldCharType="begin" w:fldLock="1"/>
      </w:r>
      <w:r>
        <w:rPr>
          <w:rFonts w:eastAsia="Calibri"/>
          <w:iCs/>
          <w:lang w:eastAsia="en-US"/>
        </w:rPr>
        <w:instrText>ADDIN CSL_CITATION {"citationItems":[{"id":"ITEM-1","itemData":{"DOI":"10.1016/j.biopha.2021.111732","ISSN":"19506007","PMID":"34130201","abstract":"Nerol, a monoterpene is evident to possess diverse biological activities, including antioxidant, anti-microbial, anti-spasmodic, anthelmintic, and anti-arrhythmias. This study aims to evaluate its hepatoprotective effect against paracetamol-induced liver toxicity in a rat model. Five groups of rats (n = 7) were orally treated (once daily) with 0.05% tween 80 dissolved in 0.9% NaCl solution (vehicle), paracetamol 640 mg/kg (negative control), 50 mg/kg silymarin (positive control), or nerol (50 and 100 mg/kg) for 14 days, followed by the hepatotoxicity induction using paracetamol (PCM). The blood samples and livers of the animals were collected and subjected to biochemical and microscopical analysis. The histological findings suggest that paracetamol caused lymphocyte infiltration and marked necrosis, whereas maintenance of the normal hepatic structural was observed in group pre-treated with silymarin and nerol. The rats pre-treated with nerol significantly and dose-dependently reduced the hepatotoxic markers in animals. Nerol at 100 mg/kg significantly reversed the paracetamol-induced altered situations, including the liver enzymes, plasma proteins, antioxidant enzymes and serum bilirubin, lipid peroxidation (LPO) and cholesterol [e.g., total cholesterol (TC), triglycerides (TG), high-density lipoprotein cholesterol (HDL-c), low-density lipoprotein cholesterol (LDL-c)] levels in animals. Taken together, nerol exerted significant hepatoprotective activity in rats in a dose-dependent manner. PCM-induced toxicity and nerol induced hepatoprotective effects based on expression of inflammatory and apoptosis factors will be future line of work for establishing the precise mechanism of action of nerol in Wistar albino rats.","author":[{"dropping-particle":"","family":"Islam","given":"Muhammad Torequl","non-dropping-particle":"","parse-names":false,"suffix":""},{"dropping-particle":"","family":"Quispe","given":"Cristina","non-dropping-particle":"","parse-names":false,"suffix":""},{"dropping-particle":"","family":"Islam","given":"Md Amirul","non-dropping-particle":"","parse-names":false,"suffix":""},{"dropping-particle":"","family":"Ali","given":"Eunus S.","non-dropping-particle":"","parse-names":false,"suffix":""},{"dropping-particle":"","family":"Saha","given":"Sushmita","non-dropping-particle":"","parse-names":false,"suffix":""},{"dropping-particle":"","family":"Asha","given":"Umma Hafsa","non-dropping-particle":"","parse-names":false,"suffix":""},{"dropping-particle":"","family":"Mondal","given":"Milon","non-dropping-particle":"","parse-names":false,"suffix":""},{"dropping-particle":"","family":"Razis","given":"Ahmad Faizal Abdull","non-dropping-particle":"","parse-names":false,"suffix":""},{"dropping-particle":"","family":"Sunusi","given":"Usman","non-dropping-particle":"","parse-names":false,"suffix":""},{"dropping-particle":"","family":"Kamal","given":"Ramla Muhammad","non-dropping-particle":"","parse-names":false,"suffix":""},{"dropping-particle":"","family":"Kumar","given":"Manoj","non-dropping-particle":"","parse-names":false,"suffix":""},{"dropping-particle":"","family":"Sharifi-Rad","given":"Javad","non-dropping-particle":"","parse-names":false,"suffix":""}],"container-title":"Biomedicine and Pharmacotherapy","id":"ITEM-1","issued":{"date-parts":[["2021"]]},"page":"111732","publisher":"Elsevier Masson SAS","title":"Effects of nerol on paracetamol-induced liver damage in Wistar albino rats","type":"article-journal","volume":"140"},"uris":["http://www.mendeley.com/documents/?uuid=011ad7b6-f873-4e6b-be06-4921670cabdd"]}],"mendeley":{"formattedCitation":"(Islam et al., 2021)","plainTextFormattedCitation":"(Islam et al., 2021)","previouslyFormattedCitation":"(Islam et al., 2021)"},"properties":{"noteIndex":0},"schema":"https://github.com/citation-style-language/schema/raw/master/csl-citation.json"}</w:instrText>
      </w:r>
      <w:r>
        <w:rPr>
          <w:rFonts w:eastAsia="Calibri"/>
          <w:iCs/>
          <w:lang w:eastAsia="en-US"/>
        </w:rPr>
        <w:fldChar w:fldCharType="separate"/>
      </w:r>
      <w:r w:rsidRPr="00F460F8">
        <w:rPr>
          <w:rFonts w:eastAsia="Calibri"/>
          <w:iCs/>
          <w:noProof/>
          <w:lang w:eastAsia="en-US"/>
        </w:rPr>
        <w:t>(Islam et al., 2021)</w:t>
      </w:r>
      <w:r>
        <w:rPr>
          <w:rFonts w:eastAsia="Calibri"/>
          <w:iCs/>
          <w:lang w:eastAsia="en-US"/>
        </w:rPr>
        <w:fldChar w:fldCharType="end"/>
      </w:r>
      <w:r>
        <w:rPr>
          <w:rFonts w:eastAsia="Calibri"/>
          <w:iCs/>
          <w:lang w:eastAsia="en-US"/>
        </w:rPr>
        <w:t xml:space="preserve">. </w:t>
      </w:r>
      <w:r w:rsidRPr="009A3574">
        <w:rPr>
          <w:rFonts w:eastAsia="Calibri"/>
          <w:iCs/>
          <w:lang w:eastAsia="en-US"/>
        </w:rPr>
        <w:t>Another research by ’aisy et al.</w:t>
      </w:r>
      <w:r>
        <w:rPr>
          <w:rFonts w:eastAsia="Calibri"/>
          <w:iCs/>
          <w:lang w:eastAsia="en-US"/>
        </w:rPr>
        <w:t xml:space="preserve"> </w:t>
      </w:r>
      <w:r>
        <w:rPr>
          <w:rFonts w:eastAsia="Calibri"/>
          <w:iCs/>
          <w:lang w:eastAsia="en-US"/>
        </w:rPr>
        <w:fldChar w:fldCharType="begin" w:fldLock="1"/>
      </w:r>
      <w:r>
        <w:rPr>
          <w:rFonts w:eastAsia="Calibri"/>
          <w:iCs/>
          <w:lang w:eastAsia="en-US"/>
        </w:rPr>
        <w:instrText>ADDIN CSL_CITATION {"citationItems":[{"id":"ITEM-1","itemData":{"DOI":"10.12928/admj.v2i2.5063","abstract":"Incorrect use of paracetamol can cause overdose and cause liver damage. Papaya leaves is a plant that has the potential as hepatoprotective because it contains flavonoids, saponins, tannins, alkaloids, triterpenoids and vitamin E. The aim of this study was to prove the hepatoprotective effect of papaya leaf extract on the total bilirubin levels of Wistar rats given paracetamol. This research was conducted using a post test only control group design method and used 24 wistar rats grouped by simple random sampling into negative control (K-), positive control (K +), treatment 1 (PI), and treatment 2 ( PII). PI and PII groups were given papaya leaf extract 75 mg / kgBB rats / day and 150 mg / kgBB rats / day for 7 days. On days 5 to 7, the K +, PI, and PII groups were given paracetamol 600 mg / kgBW rats / day. Samples were taken on day 8 and total bilirubin levels were measured on day 9 then analyzed using One Way Anova and Post Hoc LSD test. There are significant differences in all groups based on the results of the One Way Anova test with p value= 0.000. The results of the LSD Post Hoc test showed significant differences in the K- group with K + (p = 0,000), K- with PI (p = 0.027), K + with PI (p = 0,000), K + with PII (p = 0,000), PI with PII (p = 0.004), and there was no significant difference between the K- and PII groups (p = 0.397). There was a hepatoprotective effect of papaya leaf extract on Bilirubin total levels in Wistar rats treated with paracetamol.","author":[{"dropping-particle":"","family":"'aisy","given":"Adhani Rihhadatul","non-dropping-particle":"","parse-names":false,"suffix":""},{"dropping-particle":"","family":"Ratnaningrum","given":"Kanti","non-dropping-particle":"","parse-names":false,"suffix":""},{"dropping-particle":"","family":"Nugraheni","given":"Dyah Mustika","non-dropping-particle":"","parse-names":false,"suffix":""}],"container-title":"Ahmad Dahlan Medical Journal","id":"ITEM-1","issue":"2","issued":{"date-parts":[["2021"]]},"page":"46-57","title":"Hepatoprotective Effects Of Papaya Leaves Extract (Carica Papaya L.) With Increased Dose: A Study Of Total Bilirubin Levels Of Wistar Rats That Given Paracetamol","type":"article-journal","volume":"2"},"suppress-author":1,"uris":["http://www.mendeley.com/documents/?uuid=fd857593-b188-4b2e-86f1-228c99513639"]}],"mendeley":{"formattedCitation":"(2021)","plainTextFormattedCitation":"(2021)","previouslyFormattedCitation":"(2021)"},"properties":{"noteIndex":0},"schema":"https://github.com/citation-style-language/schema/raw/master/csl-citation.json"}</w:instrText>
      </w:r>
      <w:r>
        <w:rPr>
          <w:rFonts w:eastAsia="Calibri"/>
          <w:iCs/>
          <w:lang w:eastAsia="en-US"/>
        </w:rPr>
        <w:fldChar w:fldCharType="separate"/>
      </w:r>
      <w:r w:rsidRPr="00F460F8">
        <w:rPr>
          <w:rFonts w:eastAsia="Calibri"/>
          <w:iCs/>
          <w:noProof/>
          <w:lang w:eastAsia="en-US"/>
        </w:rPr>
        <w:t>(2021)</w:t>
      </w:r>
      <w:r>
        <w:rPr>
          <w:rFonts w:eastAsia="Calibri"/>
          <w:iCs/>
          <w:lang w:eastAsia="en-US"/>
        </w:rPr>
        <w:fldChar w:fldCharType="end"/>
      </w:r>
      <w:r w:rsidRPr="009A3574">
        <w:rPr>
          <w:rFonts w:eastAsia="Calibri"/>
          <w:iCs/>
          <w:lang w:eastAsia="en-US"/>
        </w:rPr>
        <w:t xml:space="preserve"> stated that a dose of 600 mg for 7 days increased total bilirubin in the blood.</w:t>
      </w:r>
      <w:r>
        <w:rPr>
          <w:rFonts w:eastAsia="Calibri"/>
          <w:iCs/>
          <w:lang w:eastAsia="en-US"/>
        </w:rPr>
        <w:t xml:space="preserve"> </w:t>
      </w:r>
    </w:p>
    <w:p w14:paraId="179EEC17" w14:textId="04CAFFCD" w:rsidR="00A454FF" w:rsidRPr="009A3574" w:rsidRDefault="00A454FF" w:rsidP="00A454FF">
      <w:pPr>
        <w:suppressAutoHyphens w:val="0"/>
        <w:autoSpaceDE w:val="0"/>
        <w:autoSpaceDN w:val="0"/>
        <w:adjustRightInd w:val="0"/>
        <w:ind w:firstLine="567"/>
        <w:jc w:val="both"/>
        <w:rPr>
          <w:rFonts w:eastAsia="Calibri"/>
          <w:iCs/>
          <w:lang w:eastAsia="en-US"/>
        </w:rPr>
      </w:pPr>
      <w:r w:rsidRPr="009A3574">
        <w:rPr>
          <w:rFonts w:eastAsia="Calibri"/>
          <w:iCs/>
          <w:lang w:eastAsia="en-US"/>
        </w:rPr>
        <w:t>NAPQI accumulates in hepatocytes, binding to proteins that disrupt ATP production and cause intracellular hypercalcemia, which increases reactive oxygen species (ROS). This triggers oxidative stress, causing mitochondrial damage and inflammation. The accumulation of NAPQI leads to necrosis in liver cells, indicated by increased levels of AST, ALT, triglycerides, and total cholesterol. The increased ROS also enhances pro-inflammatory cytokines (TNF-α, IL-1β, IL-6, and IL-10), which activate white blood cells to migrate to the injury site, further indicating inflammation that damages tissues and organs</w:t>
      </w:r>
      <w:r>
        <w:rPr>
          <w:rFonts w:eastAsia="Calibri"/>
          <w:iCs/>
          <w:lang w:eastAsia="en-US"/>
        </w:rPr>
        <w:t xml:space="preserve"> </w:t>
      </w:r>
      <w:r w:rsidRPr="00B20091">
        <w:rPr>
          <w:rFonts w:eastAsia="Calibri"/>
          <w:iCs/>
          <w:noProof/>
          <w:lang w:eastAsia="en-US"/>
        </w:rPr>
        <w:t>(Ayoub, 2021</w:t>
      </w:r>
      <w:r>
        <w:rPr>
          <w:rFonts w:eastAsia="Calibri"/>
          <w:iCs/>
          <w:noProof/>
          <w:lang w:eastAsia="en-US"/>
        </w:rPr>
        <w:t>)</w:t>
      </w:r>
      <w:r w:rsidRPr="009A3574">
        <w:rPr>
          <w:rFonts w:eastAsia="Calibri"/>
          <w:iCs/>
          <w:lang w:eastAsia="en-US"/>
        </w:rPr>
        <w:t>.</w:t>
      </w:r>
    </w:p>
    <w:p w14:paraId="46D3DF5C" w14:textId="77777777" w:rsidR="00A454FF" w:rsidRDefault="00A454FF" w:rsidP="00A454FF">
      <w:pPr>
        <w:suppressAutoHyphens w:val="0"/>
        <w:autoSpaceDE w:val="0"/>
        <w:autoSpaceDN w:val="0"/>
        <w:adjustRightInd w:val="0"/>
        <w:ind w:firstLine="567"/>
        <w:jc w:val="both"/>
        <w:rPr>
          <w:rFonts w:eastAsia="Calibri"/>
          <w:iCs/>
          <w:lang w:eastAsia="en-US"/>
        </w:rPr>
      </w:pPr>
      <w:r w:rsidRPr="009A3574">
        <w:rPr>
          <w:rFonts w:eastAsia="Calibri"/>
          <w:iCs/>
          <w:lang w:eastAsia="en-US"/>
        </w:rPr>
        <w:t xml:space="preserve">Liver cell damage induced by NAPQI can be mitigated through the administration of antioxidant compounds. Regarding this, green tea extract has gained attention due to its potent antioxidant profile and proven hepatoprotective activity. In previous studies, green tea extract had been used as an anticholesterol </w:t>
      </w:r>
      <w:r>
        <w:rPr>
          <w:rFonts w:eastAsia="Calibri"/>
          <w:iCs/>
          <w:lang w:eastAsia="en-US"/>
        </w:rPr>
        <w:fldChar w:fldCharType="begin" w:fldLock="1"/>
      </w:r>
      <w:r>
        <w:rPr>
          <w:rFonts w:eastAsia="Calibri"/>
          <w:iCs/>
          <w:lang w:eastAsia="en-US"/>
        </w:rPr>
        <w:instrText>ADDIN CSL_CITATION {"citationItems":[{"id":"ITEM-1","itemData":{"DOI":"10.33761/jsm.v15i1.195","ISSN":"1978-8517","abstract":"Green Tea works as an anti-dyslipidemia due to chronic hyperglycemia of diabetes through its flavonoid content. The purpose of this study was to determine the effectiveness of green tea extracts on reducing the total cholesterol levels of alloxan-induced diabetes Wistar rats. The study design uses true experimental. Samples were 30 Wistar strain male white rats, aged 8-12 weeks, weighing ±200 grams. Green tea extract doses of 200, 400, and 800 mg/kg body weight, and negative controls were given alloxan, and positive controls were given simvastatin. The treatment group except the normal group was injected with a dose of 125 mg/kg alloxan intraperitoneally and a high-fat feed. After 3 days blood from the tail was measured glucose using a glucometer and cholesterol with a spectrophotometer λ=546 nm, giving green tea extract for 16 days orally, then re-measuring blood cholesterol from the tail. The One Way Anova Test results show the effectiveness of green tea extract on reducing total cholesterol (p=0,000). The results of the Post-Hoc Bonferroni test giving green tea extract at a dose of 400 mg/kg were comparable to simvastatin (p=0.453) which best decreased total cholesterol levels close to normal values.","author":[{"dropping-particle":"","family":"Sarel","given":"Zufarisky","non-dropping-particle":"","parse-names":false,"suffix":""},{"dropping-particle":"","family":"Simanjuntak","given":"Kristina","non-dropping-particle":"","parse-names":false,"suffix":""}],"container-title":"Jurnal Sehat Mandiri","id":"ITEM-1","issue":"1","issued":{"date-parts":[["2020"]]},"page":"98-111","title":"Pengaruh Pemberian Ekstrak Teh Hijau (Camellia sinensis L.) terhadap Penurunan Kadar Kolesterol Total Tikus Wistar (Rattus norvegicus) Diabetes Induksi Aloksan","type":"article-journal","volume":"15"},"uris":["http://www.mendeley.com/documents/?uuid=d3a808bc-03ea-4ed8-941d-8af48706f487"]}],"mendeley":{"formattedCitation":"(Sarel &amp; Simanjuntak, 2020)","plainTextFormattedCitation":"(Sarel &amp; Simanjuntak, 2020)","previouslyFormattedCitation":"(Sarel &amp; Simanjuntak, 2020)"},"properties":{"noteIndex":0},"schema":"https://github.com/citation-style-language/schema/raw/master/csl-citation.json"}</w:instrText>
      </w:r>
      <w:r>
        <w:rPr>
          <w:rFonts w:eastAsia="Calibri"/>
          <w:iCs/>
          <w:lang w:eastAsia="en-US"/>
        </w:rPr>
        <w:fldChar w:fldCharType="separate"/>
      </w:r>
      <w:r w:rsidRPr="00F460F8">
        <w:rPr>
          <w:rFonts w:eastAsia="Calibri"/>
          <w:iCs/>
          <w:noProof/>
          <w:lang w:eastAsia="en-US"/>
        </w:rPr>
        <w:t>(Sarel &amp; Simanjuntak, 2020)</w:t>
      </w:r>
      <w:r>
        <w:rPr>
          <w:rFonts w:eastAsia="Calibri"/>
          <w:iCs/>
          <w:lang w:eastAsia="en-US"/>
        </w:rPr>
        <w:fldChar w:fldCharType="end"/>
      </w:r>
      <w:r>
        <w:rPr>
          <w:rFonts w:eastAsia="Calibri"/>
          <w:iCs/>
          <w:lang w:eastAsia="en-US"/>
        </w:rPr>
        <w:t xml:space="preserve">, </w:t>
      </w:r>
      <w:r w:rsidRPr="009A3574">
        <w:rPr>
          <w:rFonts w:eastAsia="Calibri"/>
          <w:iCs/>
          <w:lang w:eastAsia="en-US"/>
        </w:rPr>
        <w:t>with protective effects of EGCG from green tea against oxidative stress and kidney disease</w:t>
      </w:r>
      <w:r>
        <w:rPr>
          <w:rFonts w:eastAsia="Calibri"/>
          <w:iCs/>
          <w:lang w:eastAsia="en-US"/>
        </w:rPr>
        <w:t xml:space="preserve">, </w:t>
      </w:r>
      <w:r w:rsidRPr="009A3574">
        <w:rPr>
          <w:rFonts w:eastAsia="Calibri"/>
          <w:iCs/>
          <w:lang w:eastAsia="en-US"/>
        </w:rPr>
        <w:t xml:space="preserve">while for hepatoprotective activity, the intervention of giving green tea extract significantly reduced paracetamol-induced liver injury </w:t>
      </w:r>
      <w:r>
        <w:rPr>
          <w:rFonts w:eastAsia="Calibri"/>
          <w:iCs/>
          <w:lang w:eastAsia="en-US"/>
        </w:rPr>
        <w:fldChar w:fldCharType="begin" w:fldLock="1"/>
      </w:r>
      <w:r>
        <w:rPr>
          <w:rFonts w:eastAsia="Calibri"/>
          <w:iCs/>
          <w:lang w:eastAsia="en-US"/>
        </w:rPr>
        <w:instrText>ADDIN CSL_CITATION {"citationItems":[{"id":"ITEM-1","itemData":{"DOI":"10.1155/2020/2696432","ISSN":"17414288","abstract":"Green tea polyphenols (GTPs) have been shown to exhibit diverse beneficial effects against a variety of diseases. Acetaminophen (APAP) overdose is one of the most frequent causes of drug-induced liver injury. In the current study, we aimed to investigate the protective effect of GTP on APAP-induced liver injury in mice and the underlying mechanisms involved. Male C57BL/6J mice were treated orally with different doses of GTP (37.5, 75, or 150 mg/kg) 4 h after APAP overdose (400 mg/kg) and continuously given every 8 h until sacrificed at 4, 12, 20, and 48 h after the first treatment of GTP. Survival rate and histological and biochemical assessments were performed to evaluate the APAP-induced liver injury. Protein expression of multiple drug metabolizing enzymes and transporters was measured to demonstrate the possible mechanisms involved. Our results revealed that administration of different doses of GTP significantly alleviated APAP-induced liver injury by improving the survival rate, hepatocellular necrosis, and ALT/AST/GSH levels after APAP overdose (400 mg/kg). The protein expression of APAP-induced drug transporters and metabolizing enzymes was mostly induced by GTP treatment, which was followed by reduction in drug transporters at the later time points. The current study collectively demonstrated that GTP protects against APAP-induced liver injury, possibly through regulating drug metabolizing enzymes and transporters after APAP overdose.","author":[{"dropping-particle":"","family":"Lv","given":"Le","non-dropping-particle":"","parse-names":false,"suffix":""},{"dropping-particle":"","family":"Xu","given":"Chenshu","non-dropping-particle":"","parse-names":false,"suffix":""},{"dropping-particle":"","family":"Mo","given":"Xiaoye","non-dropping-particle":"","parse-names":false,"suffix":""},{"dropping-particle":"","family":"Sun","given":"Hai Yan","non-dropping-particle":"","parse-names":false,"suffix":""},{"dropping-particle":"","family":"Bi","given":"Huichang","non-dropping-particle":"","parse-names":false,"suffix":""}],"container-title":"Evidence-based Complementary and Alternative Medicine","id":"ITEM-1","issued":{"date-parts":[["2020"]]},"title":"Green Tea Polyphenols Protect against Acetaminophen-Induced Liver Injury by Regulating the Drug Metabolizing Enzymes and Transporters","type":"article-journal","volume":"2020"},"uris":["http://www.mendeley.com/documents/?uuid=7f8f237e-fe5e-442d-a0dc-8a40d588dca3"]},{"id":"ITEM-2","itemData":{"DOI":"10.65034/bjnabstract-cpn25196","abstract":"Introduction: Kidney diseases are a global health problem, and their frequency is continuously increasing. Available treatments provide limited kidney protection. The protective effect of the green tea polyphenol epigallocatechin-3-gallate (EGCG) on several diseases have been extensively investigated. Our objective was to review the literature on the protective effect of green tea (Camellia sinensis) in kidney diseases and determine the mechanisms involved in each of them. Methods: This review assessed experimental and clinical trials focused on the potential impact of green tea (Camellia sinensis) on its therapeutic efficacy in the treatment of kidney diseases in studies published between 2012 and 2024 in English and indexed in the PubMed and MEDLINE databases. Results: Experimental and clinical studies have shown that the antioxidant, anti-inflammatory, and anti-apoptotic properties of EGCG are promising for the treatment and/or prevention of kidney diseases. This review analyzes the available evidence on the effects, and the likely protective mechanisms of action, of EGCG in a broad spectrum of kidney diseases, including acute kidney injury, drug-induced nephrotoxicity, kidney stone disease, diabetic nephropathy, chronic kidney disease, and kidney fibrosis. Discussion and Conclusion: This review highlights the beneficial role of EGCG as a potent renoprotector through underlying molecular mechanisms, mainly by inhibiting oxidative stress (Nrf2–Keap1 pathway) and inflammation (NF-κB pathway).","author":[{"dropping-particle":"","family":"Ayusso","given":"Luis Lazaro","non-dropping-particle":"","parse-names":false,"suffix":""},{"dropping-particle":"","family":"Girol","given":"Ana Paula","non-dropping-particle":"","parse-names":false,"suffix":""},{"dropping-particle":"","family":"Neto","given":"Luis Ayusso","non-dropping-particle":"","parse-names":false,"suffix":""},{"dropping-particle":"","family":"Gomes","given":"Isabella","non-dropping-particle":"","parse-names":false,"suffix":""},{"dropping-particle":"","family":"Burdmann","given":"Emmanuel Almeida","non-dropping-particle":"","parse-names":false,"suffix":""}],"id":"ITEM-2","issue":"December","issued":{"date-parts":[["2026"]]},"page":"S196","title":"Protective Effect of Green Tea (Camellia Sinensis) Against Kidney Diseases","type":"article-journal"},"uris":["http://www.mendeley.com/documents/?uuid=c21414d6-61a4-413b-8f67-56eaa975a1e8"]}],"mendeley":{"formattedCitation":"(Ayusso et al., 2026; Lv et al., 2020)","manualFormatting":"(Ayusso et al., 2022; Lv et al., 2020)","plainTextFormattedCitation":"(Ayusso et al., 2026; Lv et al., 2020)","previouslyFormattedCitation":"(Ayusso et al., 2026; Lv et al., 2020)"},"properties":{"noteIndex":0},"schema":"https://github.com/citation-style-language/schema/raw/master/csl-citation.json"}</w:instrText>
      </w:r>
      <w:r>
        <w:rPr>
          <w:rFonts w:eastAsia="Calibri"/>
          <w:iCs/>
          <w:lang w:eastAsia="en-US"/>
        </w:rPr>
        <w:fldChar w:fldCharType="separate"/>
      </w:r>
      <w:r w:rsidRPr="00D71DAD">
        <w:rPr>
          <w:rFonts w:eastAsia="Calibri"/>
          <w:iCs/>
          <w:noProof/>
          <w:lang w:eastAsia="en-US"/>
        </w:rPr>
        <w:t>(Ayusso et al., 202</w:t>
      </w:r>
      <w:r>
        <w:rPr>
          <w:rFonts w:eastAsia="Calibri"/>
          <w:iCs/>
          <w:noProof/>
          <w:lang w:eastAsia="en-US"/>
        </w:rPr>
        <w:t>2</w:t>
      </w:r>
      <w:r w:rsidRPr="00D71DAD">
        <w:rPr>
          <w:rFonts w:eastAsia="Calibri"/>
          <w:iCs/>
          <w:noProof/>
          <w:lang w:eastAsia="en-US"/>
        </w:rPr>
        <w:t>; Lv et al., 2020)</w:t>
      </w:r>
      <w:r>
        <w:rPr>
          <w:rFonts w:eastAsia="Calibri"/>
          <w:iCs/>
          <w:lang w:eastAsia="en-US"/>
        </w:rPr>
        <w:fldChar w:fldCharType="end"/>
      </w:r>
      <w:r w:rsidRPr="009A3574">
        <w:rPr>
          <w:rFonts w:eastAsia="Calibri"/>
          <w:iCs/>
          <w:lang w:eastAsia="en-US"/>
        </w:rPr>
        <w:t>.</w:t>
      </w:r>
    </w:p>
    <w:p w14:paraId="49AC9359" w14:textId="77777777" w:rsidR="00A454FF" w:rsidRDefault="00A454FF" w:rsidP="00A454FF">
      <w:pPr>
        <w:suppressAutoHyphens w:val="0"/>
        <w:autoSpaceDE w:val="0"/>
        <w:autoSpaceDN w:val="0"/>
        <w:adjustRightInd w:val="0"/>
        <w:ind w:firstLine="567"/>
        <w:jc w:val="both"/>
        <w:rPr>
          <w:rFonts w:eastAsia="Calibri"/>
          <w:iCs/>
          <w:lang w:eastAsia="en-US"/>
        </w:rPr>
      </w:pPr>
      <w:r w:rsidRPr="00A454FF">
        <w:rPr>
          <w:rFonts w:eastAsia="Calibri"/>
          <w:iCs/>
          <w:lang w:eastAsia="en-US"/>
        </w:rPr>
        <w:t>Although various studies have been conducted on the toxicity of paracetamol, most research focuses predominantly on liver enzyme markers (AST/ALT) without fully integrating the correlation between metabolic shifts (lipid profiles) and systemic inflammatory responses. In addition, the lack of clarity regarding the specific dose-response upon exposure to paracetamol and green tea extract treatment.</w:t>
      </w:r>
      <w:r>
        <w:rPr>
          <w:rFonts w:eastAsia="Calibri"/>
          <w:iCs/>
          <w:lang w:eastAsia="en-US"/>
        </w:rPr>
        <w:t xml:space="preserve"> </w:t>
      </w:r>
      <w:r w:rsidRPr="009A3574">
        <w:rPr>
          <w:rFonts w:eastAsia="Calibri"/>
          <w:iCs/>
          <w:lang w:eastAsia="en-US"/>
        </w:rPr>
        <w:t xml:space="preserve">Green tea extract contains flavonoids and L-theanine, which provide protective properties by analyzing the blood biochemistry of rats induced by paracetamol. </w:t>
      </w:r>
    </w:p>
    <w:p w14:paraId="7277B611" w14:textId="7C9D8DA7" w:rsidR="00A454FF" w:rsidRDefault="00A454FF" w:rsidP="00A454FF">
      <w:pPr>
        <w:suppressAutoHyphens w:val="0"/>
        <w:autoSpaceDE w:val="0"/>
        <w:autoSpaceDN w:val="0"/>
        <w:adjustRightInd w:val="0"/>
        <w:ind w:firstLine="567"/>
        <w:jc w:val="both"/>
        <w:rPr>
          <w:rFonts w:eastAsia="Calibri"/>
          <w:lang w:eastAsia="en-US"/>
        </w:rPr>
      </w:pPr>
      <w:r w:rsidRPr="009A3574">
        <w:rPr>
          <w:rFonts w:eastAsia="Calibri"/>
          <w:iCs/>
          <w:lang w:eastAsia="en-US"/>
        </w:rPr>
        <w:t xml:space="preserve">This study aims to investigate the potential of green tea extract in preclinical research and its effects on blood chemical levels, such as aspartate aminotransferase (AST), alanine aminotransferase (ALT), triglycerides (TG), total cholesterol, and leukocyte counts. </w:t>
      </w:r>
      <w:r w:rsidRPr="00025FA5">
        <w:rPr>
          <w:rFonts w:eastAsia="Calibri"/>
          <w:iCs/>
          <w:lang w:eastAsia="en-US"/>
        </w:rPr>
        <w:t xml:space="preserve">The selection of doses in this study (175, 350, and 700 mg/kg </w:t>
      </w:r>
      <w:r>
        <w:rPr>
          <w:rFonts w:eastAsia="Calibri"/>
          <w:iCs/>
          <w:lang w:eastAsia="en-US"/>
        </w:rPr>
        <w:t>bw</w:t>
      </w:r>
      <w:r w:rsidRPr="00025FA5">
        <w:rPr>
          <w:rFonts w:eastAsia="Calibri"/>
          <w:iCs/>
          <w:lang w:eastAsia="en-US"/>
        </w:rPr>
        <w:t>) is explicitly justified based on</w:t>
      </w:r>
      <w:r>
        <w:rPr>
          <w:rFonts w:eastAsia="Calibri"/>
          <w:iCs/>
          <w:lang w:eastAsia="en-US"/>
        </w:rPr>
        <w:t xml:space="preserve"> </w:t>
      </w:r>
      <w:r w:rsidRPr="00A35154">
        <w:rPr>
          <w:rFonts w:eastAsia="Calibri"/>
          <w:lang w:eastAsia="en-US"/>
        </w:rPr>
        <w:t>Riyani</w:t>
      </w:r>
      <w:r>
        <w:rPr>
          <w:rFonts w:eastAsia="Calibri"/>
          <w:lang w:eastAsia="en-US"/>
        </w:rPr>
        <w:t xml:space="preserve"> et al. </w:t>
      </w:r>
      <w:r>
        <w:rPr>
          <w:rFonts w:eastAsia="Calibri"/>
          <w:lang w:eastAsia="en-US"/>
        </w:rPr>
        <w:fldChar w:fldCharType="begin" w:fldLock="1"/>
      </w:r>
      <w:r>
        <w:rPr>
          <w:rFonts w:eastAsia="Calibri"/>
          <w:lang w:eastAsia="en-US"/>
        </w:rPr>
        <w:instrText>ADDIN CSL_CITATION {"citationItems":[{"id":"ITEM-1","itemData":{"abstract":"Background: Green Tea Leaves (Camellia sinensis, L) are widely used for various daily needs and have been widely researched and developed. Green tea contains active …","author":[{"dropping-particle":"","family":"Riyani","given":"Ani","non-dropping-particle":"","parse-names":false,"suffix":""},{"dropping-particle":"","family":"Firman Solihat","given":"M","non-dropping-particle":"","parse-names":false,"suffix":""},{"dropping-particle":"","family":"Rohdiana","given":"Dadan","non-dropping-particle":"","parse-names":false,"suffix":""}],"container-title":"International …","id":"ITEM-1","issue":"December","issued":{"date-parts":[["2021"]]},"page":"14-16","title":"HEPATOPROTECTOR ACTIVITY TEST OF GREEN TEA (Camellia sinensis, L) GAMBUNG VARIETY ETHANOL EXTRACT IN BALB/C MOUSE INDUCED WITH CCL4","type":"article-journal"},"suppress-author":1,"uris":["http://www.mendeley.com/documents/?uuid=9551d863-7828-48d3-8c11-31e7ea42f5b7"]}],"mendeley":{"formattedCitation":"(2021)","plainTextFormattedCitation":"(2021)","previouslyFormattedCitation":"(2021)"},"properties":{"noteIndex":0},"schema":"https://github.com/citation-style-language/schema/raw/master/csl-citation.json"}</w:instrText>
      </w:r>
      <w:r>
        <w:rPr>
          <w:rFonts w:eastAsia="Calibri"/>
          <w:lang w:eastAsia="en-US"/>
        </w:rPr>
        <w:fldChar w:fldCharType="separate"/>
      </w:r>
      <w:r w:rsidRPr="00806D76">
        <w:rPr>
          <w:rFonts w:eastAsia="Calibri"/>
          <w:noProof/>
          <w:lang w:eastAsia="en-US"/>
        </w:rPr>
        <w:t>(2021)</w:t>
      </w:r>
      <w:r>
        <w:rPr>
          <w:rFonts w:eastAsia="Calibri"/>
          <w:lang w:eastAsia="en-US"/>
        </w:rPr>
        <w:fldChar w:fldCharType="end"/>
      </w:r>
      <w:r>
        <w:rPr>
          <w:rFonts w:eastAsia="Calibri"/>
          <w:lang w:eastAsia="en-US"/>
        </w:rPr>
        <w:t xml:space="preserve">, </w:t>
      </w:r>
      <w:r w:rsidRPr="00F87770">
        <w:rPr>
          <w:rFonts w:eastAsia="Calibri"/>
          <w:lang w:eastAsia="en-US"/>
        </w:rPr>
        <w:t xml:space="preserve">who exhibited the optimum dose at 50 mg/kg in mice, then converted into rats dose. The dose of 350 mg/kg </w:t>
      </w:r>
      <w:r>
        <w:rPr>
          <w:rFonts w:eastAsia="Calibri"/>
          <w:lang w:eastAsia="en-US"/>
        </w:rPr>
        <w:t>bw</w:t>
      </w:r>
      <w:r w:rsidRPr="00F87770">
        <w:rPr>
          <w:rFonts w:eastAsia="Calibri"/>
          <w:lang w:eastAsia="en-US"/>
        </w:rPr>
        <w:t xml:space="preserve"> is represented as a converted measure, while 175 mg/kg and 700 mg/kg </w:t>
      </w:r>
      <w:r>
        <w:rPr>
          <w:rFonts w:eastAsia="Calibri"/>
          <w:lang w:eastAsia="en-US"/>
        </w:rPr>
        <w:t>bw</w:t>
      </w:r>
      <w:r w:rsidRPr="00F87770">
        <w:rPr>
          <w:rFonts w:eastAsia="Calibri"/>
          <w:lang w:eastAsia="en-US"/>
        </w:rPr>
        <w:t xml:space="preserve"> served as lower and upper thresholds to determine the minimum effective dose and potential saturation effect, respectively.</w:t>
      </w:r>
    </w:p>
    <w:p w14:paraId="5E308AFF" w14:textId="77777777" w:rsidR="00A454FF" w:rsidRDefault="00A454FF" w:rsidP="000E5D99">
      <w:pPr>
        <w:jc w:val="both"/>
        <w:rPr>
          <w:b/>
          <w:bCs/>
        </w:rPr>
      </w:pPr>
    </w:p>
    <w:p w14:paraId="4FC8E313" w14:textId="77777777" w:rsidR="00A454FF" w:rsidRDefault="00A454FF" w:rsidP="000E5D99">
      <w:pPr>
        <w:jc w:val="both"/>
        <w:rPr>
          <w:b/>
          <w:bCs/>
        </w:rPr>
      </w:pPr>
    </w:p>
    <w:p w14:paraId="7620B4C8" w14:textId="2D3ED2FA" w:rsidR="00686571" w:rsidRPr="006C21A7" w:rsidRDefault="00686571" w:rsidP="000E5D99">
      <w:pPr>
        <w:jc w:val="both"/>
        <w:rPr>
          <w:b/>
          <w:bCs/>
        </w:rPr>
      </w:pPr>
      <w:r w:rsidRPr="006C21A7">
        <w:rPr>
          <w:b/>
          <w:bCs/>
        </w:rPr>
        <w:lastRenderedPageBreak/>
        <w:t>MATERIALS AND METHOD</w:t>
      </w:r>
    </w:p>
    <w:p w14:paraId="2E50171C" w14:textId="037C371C" w:rsidR="00A454FF" w:rsidRPr="00A454FF" w:rsidRDefault="00A454FF" w:rsidP="00A454FF">
      <w:pPr>
        <w:suppressAutoHyphens w:val="0"/>
        <w:autoSpaceDE w:val="0"/>
        <w:autoSpaceDN w:val="0"/>
        <w:adjustRightInd w:val="0"/>
        <w:ind w:firstLine="567"/>
        <w:jc w:val="both"/>
        <w:rPr>
          <w:rFonts w:eastAsia="Calibri"/>
          <w:lang w:eastAsia="en-US"/>
        </w:rPr>
      </w:pPr>
      <w:r w:rsidRPr="00A454FF">
        <w:rPr>
          <w:rFonts w:eastAsia="Calibri"/>
          <w:lang w:eastAsia="en-US"/>
        </w:rPr>
        <w:t>This research used an animal experiment with a post-test control group design. Green tea simplicity sourced from PT. Rumpun Sari Medini. The samples underwent a 5-day maceration process with 70% ethanol, followed by evaporation using a rotary evaporator at 45℃ and 50 rpm to yield a thick extract. The study, which was conducted on 25 male Wistar rats (weighing 190-200 grams)</w:t>
      </w:r>
      <w:r>
        <w:rPr>
          <w:rFonts w:eastAsia="Calibri"/>
          <w:lang w:eastAsia="en-US"/>
        </w:rPr>
        <w:t>.</w:t>
      </w:r>
      <w:r w:rsidRPr="00A454FF">
        <w:rPr>
          <w:rFonts w:eastAsia="Calibri"/>
          <w:lang w:eastAsia="en-US"/>
        </w:rPr>
        <w:t xml:space="preserve"> </w:t>
      </w:r>
    </w:p>
    <w:p w14:paraId="51935567" w14:textId="77777777" w:rsidR="00A454FF" w:rsidRPr="00A454FF" w:rsidRDefault="00A454FF" w:rsidP="00A454FF">
      <w:pPr>
        <w:suppressAutoHyphens w:val="0"/>
        <w:autoSpaceDE w:val="0"/>
        <w:autoSpaceDN w:val="0"/>
        <w:adjustRightInd w:val="0"/>
        <w:ind w:firstLine="567"/>
        <w:jc w:val="both"/>
        <w:rPr>
          <w:rFonts w:eastAsia="Calibri"/>
          <w:lang w:eastAsia="en-US"/>
        </w:rPr>
      </w:pPr>
      <w:r w:rsidRPr="00A454FF">
        <w:rPr>
          <w:rFonts w:eastAsia="Calibri"/>
          <w:lang w:eastAsia="en-US"/>
        </w:rPr>
        <w:t xml:space="preserve">The rats were divided into five groups using simple random sampling from the existing population: a control group (K-), a positive group (K+), and three treatment groups (T1, T2, T3) that received green tea extract at varying doses (175 mg, 350 mg, and 700 mg/kg bw, respectively) for a total of 24 days. This dose was based on the optimum measure in previous studies by Riyani et al. </w:t>
      </w:r>
      <w:r w:rsidRPr="00A454FF">
        <w:rPr>
          <w:rFonts w:eastAsia="Calibri"/>
          <w:lang w:eastAsia="en-US"/>
        </w:rPr>
        <w:fldChar w:fldCharType="begin" w:fldLock="1"/>
      </w:r>
      <w:r w:rsidRPr="00A454FF">
        <w:rPr>
          <w:rFonts w:eastAsia="Calibri"/>
          <w:lang w:eastAsia="en-US"/>
        </w:rPr>
        <w:instrText>ADDIN CSL_CITATION {"citationItems":[{"id":"ITEM-1","itemData":{"abstract":"Background: Green Tea Leaves (Camellia sinensis, L) are widely used for various daily needs and have been widely researched and developed. Green tea contains active …","author":[{"dropping-particle":"","family":"Riyani","given":"Ani","non-dropping-particle":"","parse-names":false,"suffix":""},{"dropping-particle":"","family":"Firman Solihat","given":"M","non-dropping-particle":"","parse-names":false,"suffix":""},{"dropping-particle":"","family":"Rohdiana","given":"Dadan","non-dropping-particle":"","parse-names":false,"suffix":""}],"container-title":"International …","id":"ITEM-1","issue":"December","issued":{"date-parts":[["2021"]]},"page":"14-16","title":"HEPATOPROTECTOR ACTIVITY TEST OF GREEN TEA (Camellia sinensis, L) GAMBUNG VARIETY ETHANOL EXTRACT IN BALB/C MOUSE INDUCED WITH CCL4","type":"article-journal"},"suppress-author":1,"uris":["http://www.mendeley.com/documents/?uuid=9551d863-7828-48d3-8c11-31e7ea42f5b7"]}],"mendeley":{"formattedCitation":"(2021)","plainTextFormattedCitation":"(2021)","previouslyFormattedCitation":"(2021)"},"properties":{"noteIndex":0},"schema":"https://github.com/citation-style-language/schema/raw/master/csl-citation.json"}</w:instrText>
      </w:r>
      <w:r w:rsidRPr="00A454FF">
        <w:rPr>
          <w:rFonts w:eastAsia="Calibri"/>
          <w:lang w:eastAsia="en-US"/>
        </w:rPr>
        <w:fldChar w:fldCharType="separate"/>
      </w:r>
      <w:r w:rsidRPr="00A454FF">
        <w:rPr>
          <w:rFonts w:eastAsia="Calibri"/>
          <w:noProof/>
          <w:lang w:eastAsia="en-US"/>
        </w:rPr>
        <w:t>(2021)</w:t>
      </w:r>
      <w:r w:rsidRPr="00A454FF">
        <w:rPr>
          <w:rFonts w:eastAsia="Calibri"/>
          <w:lang w:eastAsia="en-US"/>
        </w:rPr>
        <w:fldChar w:fldCharType="end"/>
      </w:r>
      <w:r w:rsidRPr="00A454FF">
        <w:rPr>
          <w:rFonts w:eastAsia="Calibri"/>
          <w:lang w:eastAsia="en-US"/>
        </w:rPr>
        <w:t xml:space="preserve"> and Xu et al. </w:t>
      </w:r>
      <w:r w:rsidRPr="00A454FF">
        <w:rPr>
          <w:rFonts w:eastAsia="Calibri"/>
          <w:lang w:eastAsia="en-US"/>
        </w:rPr>
        <w:fldChar w:fldCharType="begin" w:fldLock="1"/>
      </w:r>
      <w:r w:rsidRPr="00A454FF">
        <w:rPr>
          <w:rFonts w:eastAsia="Calibri"/>
          <w:lang w:eastAsia="en-US"/>
        </w:rPr>
        <w:instrText>ADDIN CSL_CITATION {"citationItems":[{"id":"ITEM-1","itemData":{"DOI":"10.3390/antiox8120572","ISSN":"20763921","abstract":"Food processing can affect the nutrition and safety of foods. A previous study showed that tannase and ultrasound treatment could significantly increase the antioxidant activities of green tea extracts according to in vitro evaluation methods. Since the results from in vitro and in vivo experiments may be inconsistent, the in vivo antioxidant activities of the extracts were studied using a mouse model of alcohol-induced acute liver injury in this study. Results showed that all the extracts decreased the levels of aspartate transaminase and alanine aminotransferase in serum, reduced the levels of malondialdehyde and triacylglycerol in the liver, and increased the levels of catalase and glutathione in the liver, which can alleviate hepatic oxidative injury. In addition, the differences between treated and original extracts were not significant in vivo. In some cases, the food processing can have a negative effect on in vivo antioxidant activities. That is, although tannase and ultrasound treatment can significantly increase the antioxidant activities of green tea extracts in vitro, it cannot improve the in vivo antioxidant activities, which indicates that some food processing might not always have positive effects on products for human benefits.","author":[{"dropping-particle":"","family":"Xu","given":"Xiao Yu","non-dropping-particle":"","parse-names":false,"suffix":""},{"dropping-particle":"","family":"Zheng","given":"Jie","non-dropping-particle":"","parse-names":false,"suffix":""},{"dropping-particle":"","family":"Meng","given":"Jin Ming","non-dropping-particle":"","parse-names":false,"suffix":""},{"dropping-particle":"","family":"Gan","given":"Ren You","non-dropping-particle":"","parse-names":false,"suffix":""},{"dropping-particle":"","family":"Mao","given":"Qian Qian","non-dropping-particle":"","parse-names":false,"suffix":""},{"dropping-particle":"","family":"Shang","given":"Ao","non-dropping-particle":"","parse-names":false,"suffix":""},{"dropping-particle":"","family":"Li","given":"Bang Yan","non-dropping-particle":"","parse-names":false,"suffix":""},{"dropping-particle":"","family":"Wei","given":"Xin Lin","non-dropping-particle":"","parse-names":false,"suffix":""},{"dropping-particle":"Bin","family":"Li","given":"Hua","non-dropping-particle":"","parse-names":false,"suffix":""}],"container-title":"Antioxidants","id":"ITEM-1","issue":"12","issued":{"date-parts":[["2019"]]},"title":"Effects of food processing on in vivo antioxidant and hepatoprotective properties of green tea extracts","type":"article-journal","volume":"8"},"suppress-author":1,"uris":["http://www.mendeley.com/documents/?uuid=85ca2de6-8346-4629-8448-e09c09f0ac47"]}],"mendeley":{"formattedCitation":"(2019)","plainTextFormattedCitation":"(2019)","previouslyFormattedCitation":"(2019)"},"properties":{"noteIndex":0},"schema":"https://github.com/citation-style-language/schema/raw/master/csl-citation.json"}</w:instrText>
      </w:r>
      <w:r w:rsidRPr="00A454FF">
        <w:rPr>
          <w:rFonts w:eastAsia="Calibri"/>
          <w:lang w:eastAsia="en-US"/>
        </w:rPr>
        <w:fldChar w:fldCharType="separate"/>
      </w:r>
      <w:r w:rsidRPr="00A454FF">
        <w:rPr>
          <w:rFonts w:eastAsia="Calibri"/>
          <w:noProof/>
          <w:lang w:eastAsia="en-US"/>
        </w:rPr>
        <w:t>(2019)</w:t>
      </w:r>
      <w:r w:rsidRPr="00A454FF">
        <w:rPr>
          <w:rFonts w:eastAsia="Calibri"/>
          <w:lang w:eastAsia="en-US"/>
        </w:rPr>
        <w:fldChar w:fldCharType="end"/>
      </w:r>
      <w:r w:rsidRPr="00A454FF">
        <w:rPr>
          <w:rFonts w:eastAsia="Calibri"/>
          <w:lang w:eastAsia="en-US"/>
        </w:rPr>
        <w:t xml:space="preserve">, which had converted into rats dosage. Starting on the 14th day, both the positive control and treatment groups were administered paracetamol at a dose of 600 mg/kg bw for 10 days, while the green tea extract administration continued. After the treatment finished, blood samples were drawn. </w:t>
      </w:r>
    </w:p>
    <w:p w14:paraId="7B9F55C1" w14:textId="77777777" w:rsidR="00A454FF" w:rsidRDefault="00A454FF" w:rsidP="00A454FF">
      <w:pPr>
        <w:suppressAutoHyphens w:val="0"/>
        <w:autoSpaceDE w:val="0"/>
        <w:autoSpaceDN w:val="0"/>
        <w:adjustRightInd w:val="0"/>
        <w:ind w:firstLine="567"/>
        <w:jc w:val="both"/>
        <w:rPr>
          <w:rFonts w:eastAsia="Calibri"/>
          <w:lang w:eastAsia="en-US"/>
        </w:rPr>
      </w:pPr>
      <w:r w:rsidRPr="00A454FF">
        <w:rPr>
          <w:rFonts w:eastAsia="Calibri"/>
          <w:lang w:eastAsia="en-US"/>
        </w:rPr>
        <w:t xml:space="preserve">Blood profiles were analyzed to assess the impact of the treatment. Blood samples were collected from the orbital sinus, centrifuged at 3000 rpm for 15 minutes to obtain serum, and then used to measure levels of AST, ALT, cholesterol, and triglycerides. These measurements were performed using a hematology analyzer with the Electrical Impedance method, and a UV-VIS spectrophotometer at a wavelength of 340 nm. Cholesterol levels were specifically determined using the CHOD PAP Enzymatic Colorimeter Test and GPO-POD methods. </w:t>
      </w:r>
    </w:p>
    <w:p w14:paraId="0234124E" w14:textId="77777777" w:rsidR="00C52AEF" w:rsidRDefault="00C52AEF" w:rsidP="00C52AEF">
      <w:pPr>
        <w:suppressAutoHyphens w:val="0"/>
        <w:autoSpaceDE w:val="0"/>
        <w:autoSpaceDN w:val="0"/>
        <w:adjustRightInd w:val="0"/>
        <w:ind w:firstLine="567"/>
        <w:jc w:val="both"/>
        <w:rPr>
          <w:rFonts w:eastAsia="Calibri"/>
          <w:lang w:eastAsia="en-US"/>
        </w:rPr>
      </w:pPr>
      <w:r w:rsidRPr="00C52AEF">
        <w:rPr>
          <w:rFonts w:eastAsia="Calibri"/>
          <w:lang w:eastAsia="en-US"/>
        </w:rPr>
        <w:t>All collected data were statistically analyzed using the One-way ANOVA method with a 95% confidence level to test the differences in means between groups. This analysis was used to determine whether there were statistically significant differences in the variables studied. Furthermore, an LSD (Least Significant Difference) follow-up test was conducted to identify pairs of groups that showed significant differences in more detail.</w:t>
      </w:r>
    </w:p>
    <w:p w14:paraId="1360FE69" w14:textId="52D2F5FF" w:rsidR="00C52AEF" w:rsidRPr="00C52AEF" w:rsidRDefault="00C52AEF" w:rsidP="00C52AEF">
      <w:pPr>
        <w:suppressAutoHyphens w:val="0"/>
        <w:autoSpaceDE w:val="0"/>
        <w:autoSpaceDN w:val="0"/>
        <w:adjustRightInd w:val="0"/>
        <w:ind w:firstLine="567"/>
        <w:jc w:val="both"/>
        <w:rPr>
          <w:rFonts w:eastAsia="Times New Roman"/>
          <w:lang w:val="en-ID" w:eastAsia="en-ID"/>
        </w:rPr>
      </w:pPr>
      <w:r w:rsidRPr="00C52AEF">
        <w:rPr>
          <w:rFonts w:eastAsia="Times New Roman"/>
          <w:lang w:val="en-ID" w:eastAsia="en-ID"/>
        </w:rPr>
        <w:t xml:space="preserve">This study has obtained animal ethics approval from the Health Research Ethics </w:t>
      </w:r>
      <w:r w:rsidRPr="00C52AEF">
        <w:rPr>
          <w:rFonts w:eastAsia="Calibri"/>
          <w:lang w:eastAsia="en-US"/>
        </w:rPr>
        <w:t>Committee</w:t>
      </w:r>
      <w:r w:rsidRPr="00C52AEF">
        <w:rPr>
          <w:rFonts w:eastAsia="Times New Roman"/>
          <w:lang w:val="en-ID" w:eastAsia="en-ID"/>
        </w:rPr>
        <w:t xml:space="preserve"> of the Faculty of Sports Science with number 136/KEPK/EC/2023 and was conducted in accordance with the 3Rs principle (Replacement, Reduction, and Refinement). The principle of replacement was applied by considering alternatives to animals whenever possible, reduction </w:t>
      </w:r>
      <w:proofErr w:type="gramStart"/>
      <w:r w:rsidRPr="00C52AEF">
        <w:rPr>
          <w:rFonts w:eastAsia="Times New Roman"/>
          <w:lang w:val="en-ID" w:eastAsia="en-ID"/>
        </w:rPr>
        <w:t>through the use of</w:t>
      </w:r>
      <w:proofErr w:type="gramEnd"/>
      <w:r w:rsidRPr="00C52AEF">
        <w:rPr>
          <w:rFonts w:eastAsia="Times New Roman"/>
          <w:lang w:val="en-ID" w:eastAsia="en-ID"/>
        </w:rPr>
        <w:t xml:space="preserve"> the minimum number of animals necessary to meet the scientific strength of the research, and refinement by ensuring humane handling procedures to minimize pain, stress, and discomfort. The entire process of maintenance, treatment, and termination of test animals followed applicable animal welfare guidelines to ensure optimal ethical protection.</w:t>
      </w:r>
    </w:p>
    <w:p w14:paraId="3FF2EC2A" w14:textId="77777777" w:rsidR="007A2853" w:rsidRPr="0052153A" w:rsidRDefault="007A2853" w:rsidP="000E5D99">
      <w:pPr>
        <w:suppressAutoHyphens w:val="0"/>
        <w:autoSpaceDE w:val="0"/>
        <w:autoSpaceDN w:val="0"/>
        <w:adjustRightInd w:val="0"/>
        <w:ind w:firstLine="709"/>
        <w:jc w:val="both"/>
        <w:rPr>
          <w:rFonts w:eastAsia="Calibri"/>
          <w:iCs/>
          <w:lang w:val="en-ID" w:eastAsia="en-US"/>
        </w:rPr>
      </w:pPr>
    </w:p>
    <w:p w14:paraId="655AEE48" w14:textId="77777777" w:rsidR="00686571" w:rsidRPr="0053016A" w:rsidRDefault="00686571" w:rsidP="000E5D99">
      <w:pPr>
        <w:suppressAutoHyphens w:val="0"/>
        <w:rPr>
          <w:b/>
          <w:bCs/>
        </w:rPr>
      </w:pPr>
      <w:r w:rsidRPr="0053016A">
        <w:rPr>
          <w:b/>
          <w:bCs/>
        </w:rPr>
        <w:t xml:space="preserve">RESULTS </w:t>
      </w:r>
    </w:p>
    <w:p w14:paraId="278F5D60" w14:textId="77777777" w:rsidR="00C52AEF" w:rsidRPr="00C52AEF" w:rsidRDefault="00C52AEF" w:rsidP="00C52AEF">
      <w:pPr>
        <w:ind w:firstLine="567"/>
        <w:jc w:val="both"/>
        <w:rPr>
          <w:rFonts w:eastAsia="Calibri"/>
          <w:lang w:eastAsia="en-US"/>
        </w:rPr>
      </w:pPr>
      <w:r w:rsidRPr="00C52AEF">
        <w:rPr>
          <w:rFonts w:eastAsia="Calibri"/>
          <w:lang w:eastAsia="en-US"/>
        </w:rPr>
        <w:t>Measurement of blood biochemical levels of rats that had been injected with paracetamol and green tea extract was carried out at the Semarang Animal Health Laboratory and the Semarang City Health and Medical Device Testing Laboratory. The following table shows the results of the analysis of blood profile data, AST, ALT, total cholesterol, and triglyceride levels.</w:t>
      </w:r>
    </w:p>
    <w:p w14:paraId="227DF5EF" w14:textId="77777777" w:rsidR="00C52AEF" w:rsidRDefault="00C52AEF" w:rsidP="00C52AEF">
      <w:pPr>
        <w:keepNext/>
      </w:pPr>
    </w:p>
    <w:p w14:paraId="470907DA" w14:textId="57458EA3" w:rsidR="00C52AEF" w:rsidRPr="00C52AEF" w:rsidRDefault="00C52AEF" w:rsidP="00C52AEF">
      <w:pPr>
        <w:keepNext/>
        <w:ind w:left="709" w:hanging="709"/>
        <w:jc w:val="both"/>
        <w:rPr>
          <w:sz w:val="20"/>
          <w:szCs w:val="20"/>
        </w:rPr>
      </w:pPr>
      <w:r w:rsidRPr="00C52AEF">
        <w:rPr>
          <w:b/>
          <w:bCs/>
          <w:sz w:val="20"/>
          <w:szCs w:val="20"/>
        </w:rPr>
        <w:t xml:space="preserve">Table </w:t>
      </w:r>
      <w:r w:rsidRPr="00C52AEF">
        <w:rPr>
          <w:b/>
          <w:bCs/>
          <w:sz w:val="20"/>
          <w:szCs w:val="20"/>
        </w:rPr>
        <w:fldChar w:fldCharType="begin"/>
      </w:r>
      <w:r w:rsidRPr="00C52AEF">
        <w:rPr>
          <w:b/>
          <w:bCs/>
          <w:sz w:val="20"/>
          <w:szCs w:val="20"/>
        </w:rPr>
        <w:instrText xml:space="preserve"> SEQ Table \* ARABIC </w:instrText>
      </w:r>
      <w:r w:rsidRPr="00C52AEF">
        <w:rPr>
          <w:b/>
          <w:bCs/>
          <w:sz w:val="20"/>
          <w:szCs w:val="20"/>
        </w:rPr>
        <w:fldChar w:fldCharType="separate"/>
      </w:r>
      <w:r w:rsidRPr="00C52AEF">
        <w:rPr>
          <w:b/>
          <w:bCs/>
          <w:noProof/>
          <w:sz w:val="20"/>
          <w:szCs w:val="20"/>
        </w:rPr>
        <w:t>1</w:t>
      </w:r>
      <w:r w:rsidRPr="00C52AEF">
        <w:rPr>
          <w:b/>
          <w:bCs/>
          <w:sz w:val="20"/>
          <w:szCs w:val="20"/>
        </w:rPr>
        <w:fldChar w:fldCharType="end"/>
      </w:r>
      <w:r w:rsidRPr="00C52AEF">
        <w:rPr>
          <w:b/>
          <w:bCs/>
          <w:sz w:val="20"/>
          <w:szCs w:val="20"/>
        </w:rPr>
        <w:t>.</w:t>
      </w:r>
      <w:r w:rsidRPr="00C52AEF">
        <w:rPr>
          <w:sz w:val="20"/>
          <w:szCs w:val="20"/>
        </w:rPr>
        <w:t xml:space="preserve"> Mean and Standard Deviation of the Number of Leukocytes, Lymphocytes, and Neutrophils in the Control and Treatment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31"/>
        <w:gridCol w:w="2137"/>
        <w:gridCol w:w="2132"/>
      </w:tblGrid>
      <w:tr w:rsidR="00C52AEF" w:rsidRPr="00C52AEF" w14:paraId="79DDE9B0" w14:textId="77777777" w:rsidTr="00C52AEF">
        <w:trPr>
          <w:trHeight w:val="689"/>
        </w:trPr>
        <w:tc>
          <w:tcPr>
            <w:tcW w:w="2105" w:type="dxa"/>
            <w:tcBorders>
              <w:top w:val="single" w:sz="4" w:space="0" w:color="auto"/>
              <w:bottom w:val="single" w:sz="4" w:space="0" w:color="auto"/>
            </w:tcBorders>
          </w:tcPr>
          <w:p w14:paraId="407F2371" w14:textId="77777777" w:rsidR="00C52AEF" w:rsidRPr="00C52AEF" w:rsidRDefault="00C52AEF" w:rsidP="00C52AEF">
            <w:pPr>
              <w:jc w:val="center"/>
              <w:rPr>
                <w:rFonts w:eastAsia="Calibri"/>
                <w:b/>
                <w:bCs/>
                <w:lang w:eastAsia="en-US"/>
              </w:rPr>
            </w:pPr>
            <w:r w:rsidRPr="00C52AEF">
              <w:rPr>
                <w:rFonts w:eastAsia="Calibri"/>
                <w:b/>
                <w:bCs/>
                <w:lang w:eastAsia="en-US"/>
              </w:rPr>
              <w:t>Groups</w:t>
            </w:r>
          </w:p>
        </w:tc>
        <w:tc>
          <w:tcPr>
            <w:tcW w:w="2131" w:type="dxa"/>
            <w:tcBorders>
              <w:top w:val="single" w:sz="4" w:space="0" w:color="auto"/>
              <w:bottom w:val="single" w:sz="4" w:space="0" w:color="auto"/>
            </w:tcBorders>
          </w:tcPr>
          <w:p w14:paraId="687F7972" w14:textId="77777777" w:rsidR="00C52AEF" w:rsidRPr="00C52AEF" w:rsidRDefault="00C52AEF" w:rsidP="00C52AEF">
            <w:pPr>
              <w:jc w:val="center"/>
              <w:rPr>
                <w:rFonts w:eastAsia="Calibri"/>
                <w:b/>
                <w:bCs/>
                <w:lang w:eastAsia="en-US"/>
              </w:rPr>
            </w:pPr>
            <w:r w:rsidRPr="00C52AEF">
              <w:rPr>
                <w:rFonts w:eastAsia="Calibri"/>
                <w:b/>
                <w:bCs/>
                <w:lang w:eastAsia="en-US"/>
              </w:rPr>
              <w:t>Total Leukocyte (cells/mm3)</w:t>
            </w:r>
          </w:p>
        </w:tc>
        <w:tc>
          <w:tcPr>
            <w:tcW w:w="2137" w:type="dxa"/>
            <w:tcBorders>
              <w:top w:val="single" w:sz="4" w:space="0" w:color="auto"/>
              <w:bottom w:val="single" w:sz="4" w:space="0" w:color="auto"/>
            </w:tcBorders>
          </w:tcPr>
          <w:p w14:paraId="7D62EA9E" w14:textId="77777777" w:rsidR="00C52AEF" w:rsidRPr="00C52AEF" w:rsidRDefault="00C52AEF" w:rsidP="00C52AEF">
            <w:pPr>
              <w:jc w:val="center"/>
              <w:rPr>
                <w:rFonts w:eastAsia="Calibri"/>
                <w:b/>
                <w:bCs/>
                <w:lang w:eastAsia="en-US"/>
              </w:rPr>
            </w:pPr>
            <w:r w:rsidRPr="00C52AEF">
              <w:rPr>
                <w:rFonts w:eastAsia="Calibri"/>
                <w:b/>
                <w:bCs/>
                <w:lang w:eastAsia="en-US"/>
              </w:rPr>
              <w:t>Lymphocyte (cells/mm3)</w:t>
            </w:r>
          </w:p>
        </w:tc>
        <w:tc>
          <w:tcPr>
            <w:tcW w:w="2132" w:type="dxa"/>
            <w:tcBorders>
              <w:top w:val="single" w:sz="4" w:space="0" w:color="auto"/>
              <w:bottom w:val="single" w:sz="4" w:space="0" w:color="auto"/>
            </w:tcBorders>
          </w:tcPr>
          <w:p w14:paraId="56CFB84B" w14:textId="77777777" w:rsidR="00C52AEF" w:rsidRPr="00C52AEF" w:rsidRDefault="00C52AEF" w:rsidP="00C52AEF">
            <w:pPr>
              <w:jc w:val="center"/>
              <w:rPr>
                <w:rFonts w:eastAsia="Calibri"/>
                <w:b/>
                <w:bCs/>
                <w:lang w:eastAsia="en-US"/>
              </w:rPr>
            </w:pPr>
            <w:r w:rsidRPr="00C52AEF">
              <w:rPr>
                <w:rFonts w:eastAsia="Calibri"/>
                <w:b/>
                <w:bCs/>
                <w:lang w:eastAsia="en-US"/>
              </w:rPr>
              <w:t>Neutrophil (cells/mm3)</w:t>
            </w:r>
          </w:p>
        </w:tc>
      </w:tr>
      <w:tr w:rsidR="00C52AEF" w:rsidRPr="00C52AEF" w14:paraId="6C304383" w14:textId="77777777" w:rsidTr="00C52AEF">
        <w:tc>
          <w:tcPr>
            <w:tcW w:w="2105" w:type="dxa"/>
            <w:tcBorders>
              <w:top w:val="single" w:sz="4" w:space="0" w:color="auto"/>
            </w:tcBorders>
          </w:tcPr>
          <w:p w14:paraId="515AF9FA" w14:textId="77777777" w:rsidR="00C52AEF" w:rsidRPr="00C52AEF" w:rsidRDefault="00C52AEF" w:rsidP="00C52AEF">
            <w:pPr>
              <w:jc w:val="center"/>
              <w:rPr>
                <w:rFonts w:eastAsia="Calibri"/>
                <w:lang w:eastAsia="en-US"/>
              </w:rPr>
            </w:pPr>
            <w:r w:rsidRPr="00C52AEF">
              <w:rPr>
                <w:rFonts w:eastAsia="Calibri"/>
                <w:lang w:eastAsia="en-US"/>
              </w:rPr>
              <w:t>K-</w:t>
            </w:r>
          </w:p>
        </w:tc>
        <w:tc>
          <w:tcPr>
            <w:tcW w:w="2131" w:type="dxa"/>
            <w:tcBorders>
              <w:top w:val="single" w:sz="4" w:space="0" w:color="auto"/>
            </w:tcBorders>
          </w:tcPr>
          <w:p w14:paraId="2A34BB2C" w14:textId="77777777" w:rsidR="00C52AEF" w:rsidRPr="00C52AEF" w:rsidRDefault="00C52AEF" w:rsidP="00C52AEF">
            <w:pPr>
              <w:jc w:val="center"/>
              <w:rPr>
                <w:rFonts w:eastAsia="Calibri"/>
                <w:lang w:eastAsia="en-US"/>
              </w:rPr>
            </w:pPr>
            <w:r w:rsidRPr="00C52AEF">
              <w:rPr>
                <w:rFonts w:eastAsia="Calibri"/>
                <w:lang w:eastAsia="en-US"/>
              </w:rPr>
              <w:t>7520 ± 1215.3</w:t>
            </w:r>
            <w:r w:rsidRPr="00C52AEF">
              <w:rPr>
                <w:rFonts w:eastAsia="Calibri"/>
                <w:vertAlign w:val="superscript"/>
                <w:lang w:eastAsia="en-US"/>
              </w:rPr>
              <w:t>b</w:t>
            </w:r>
          </w:p>
        </w:tc>
        <w:tc>
          <w:tcPr>
            <w:tcW w:w="2137" w:type="dxa"/>
            <w:tcBorders>
              <w:top w:val="single" w:sz="4" w:space="0" w:color="auto"/>
            </w:tcBorders>
          </w:tcPr>
          <w:p w14:paraId="43FD482C" w14:textId="77777777" w:rsidR="00C52AEF" w:rsidRPr="00C52AEF" w:rsidRDefault="00C52AEF" w:rsidP="00C52AEF">
            <w:pPr>
              <w:jc w:val="center"/>
              <w:rPr>
                <w:rFonts w:eastAsia="Calibri"/>
                <w:vertAlign w:val="superscript"/>
                <w:lang w:eastAsia="en-US"/>
              </w:rPr>
            </w:pPr>
            <w:r w:rsidRPr="00C52AEF">
              <w:rPr>
                <w:rFonts w:eastAsia="Calibri"/>
                <w:lang w:eastAsia="en-US"/>
              </w:rPr>
              <w:t>5600 ± 809.3</w:t>
            </w:r>
            <w:r w:rsidRPr="00C52AEF">
              <w:rPr>
                <w:rFonts w:eastAsia="Calibri"/>
                <w:vertAlign w:val="superscript"/>
                <w:lang w:eastAsia="en-US"/>
              </w:rPr>
              <w:t>bc</w:t>
            </w:r>
          </w:p>
        </w:tc>
        <w:tc>
          <w:tcPr>
            <w:tcW w:w="2132" w:type="dxa"/>
            <w:tcBorders>
              <w:top w:val="single" w:sz="4" w:space="0" w:color="auto"/>
            </w:tcBorders>
          </w:tcPr>
          <w:p w14:paraId="66C69ADF" w14:textId="77777777" w:rsidR="00C52AEF" w:rsidRPr="00C52AEF" w:rsidRDefault="00C52AEF" w:rsidP="00C52AEF">
            <w:pPr>
              <w:jc w:val="center"/>
              <w:rPr>
                <w:rFonts w:eastAsia="Calibri"/>
                <w:vertAlign w:val="superscript"/>
                <w:lang w:eastAsia="en-US"/>
              </w:rPr>
            </w:pPr>
            <w:r w:rsidRPr="00C52AEF">
              <w:rPr>
                <w:rFonts w:eastAsia="Calibri"/>
                <w:lang w:eastAsia="en-US"/>
              </w:rPr>
              <w:t>1560 ± 503</w:t>
            </w:r>
            <w:r w:rsidRPr="00C52AEF">
              <w:rPr>
                <w:rFonts w:eastAsia="Calibri"/>
                <w:vertAlign w:val="superscript"/>
                <w:lang w:eastAsia="en-US"/>
              </w:rPr>
              <w:t>ab</w:t>
            </w:r>
          </w:p>
        </w:tc>
      </w:tr>
      <w:tr w:rsidR="00C52AEF" w:rsidRPr="00C52AEF" w14:paraId="5F415037" w14:textId="77777777" w:rsidTr="00C52AEF">
        <w:tc>
          <w:tcPr>
            <w:tcW w:w="2105" w:type="dxa"/>
          </w:tcPr>
          <w:p w14:paraId="129AE504" w14:textId="77777777" w:rsidR="00C52AEF" w:rsidRPr="00C52AEF" w:rsidRDefault="00C52AEF" w:rsidP="00C52AEF">
            <w:pPr>
              <w:jc w:val="center"/>
              <w:rPr>
                <w:rFonts w:eastAsia="Calibri"/>
                <w:lang w:eastAsia="en-US"/>
              </w:rPr>
            </w:pPr>
            <w:r w:rsidRPr="00C52AEF">
              <w:rPr>
                <w:rFonts w:eastAsia="Calibri"/>
                <w:lang w:eastAsia="en-US"/>
              </w:rPr>
              <w:t>K+</w:t>
            </w:r>
          </w:p>
        </w:tc>
        <w:tc>
          <w:tcPr>
            <w:tcW w:w="2131" w:type="dxa"/>
          </w:tcPr>
          <w:p w14:paraId="5B5077A2" w14:textId="77777777" w:rsidR="00C52AEF" w:rsidRPr="00C52AEF" w:rsidRDefault="00C52AEF" w:rsidP="00C52AEF">
            <w:pPr>
              <w:jc w:val="center"/>
              <w:rPr>
                <w:rFonts w:eastAsia="Calibri"/>
                <w:lang w:eastAsia="en-US"/>
              </w:rPr>
            </w:pPr>
            <w:r w:rsidRPr="00C52AEF">
              <w:rPr>
                <w:rFonts w:eastAsia="Calibri"/>
                <w:lang w:eastAsia="en-US"/>
              </w:rPr>
              <w:t>9440 ± 2032.9</w:t>
            </w:r>
            <w:r w:rsidRPr="00C52AEF">
              <w:rPr>
                <w:rFonts w:eastAsia="Calibri"/>
                <w:vertAlign w:val="superscript"/>
                <w:lang w:eastAsia="en-US"/>
              </w:rPr>
              <w:t>c</w:t>
            </w:r>
          </w:p>
        </w:tc>
        <w:tc>
          <w:tcPr>
            <w:tcW w:w="2137" w:type="dxa"/>
          </w:tcPr>
          <w:p w14:paraId="390A6FFF" w14:textId="77777777" w:rsidR="00C52AEF" w:rsidRPr="00C52AEF" w:rsidRDefault="00C52AEF" w:rsidP="00C52AEF">
            <w:pPr>
              <w:jc w:val="center"/>
              <w:rPr>
                <w:rFonts w:eastAsia="Calibri"/>
                <w:vertAlign w:val="superscript"/>
                <w:lang w:eastAsia="en-US"/>
              </w:rPr>
            </w:pPr>
            <w:r w:rsidRPr="00C52AEF">
              <w:rPr>
                <w:rFonts w:eastAsia="Calibri"/>
                <w:lang w:eastAsia="en-US"/>
              </w:rPr>
              <w:t>6480 ± 1435.9</w:t>
            </w:r>
            <w:r w:rsidRPr="00C52AEF">
              <w:rPr>
                <w:rFonts w:eastAsia="Calibri"/>
                <w:vertAlign w:val="superscript"/>
                <w:lang w:eastAsia="en-US"/>
              </w:rPr>
              <w:t>c</w:t>
            </w:r>
          </w:p>
        </w:tc>
        <w:tc>
          <w:tcPr>
            <w:tcW w:w="2132" w:type="dxa"/>
          </w:tcPr>
          <w:p w14:paraId="607763EC" w14:textId="77777777" w:rsidR="00C52AEF" w:rsidRPr="00C52AEF" w:rsidRDefault="00C52AEF" w:rsidP="00C52AEF">
            <w:pPr>
              <w:jc w:val="center"/>
              <w:rPr>
                <w:rFonts w:eastAsia="Calibri"/>
                <w:vertAlign w:val="superscript"/>
                <w:lang w:eastAsia="en-US"/>
              </w:rPr>
            </w:pPr>
            <w:r w:rsidRPr="00C52AEF">
              <w:rPr>
                <w:rFonts w:eastAsia="Calibri"/>
                <w:lang w:eastAsia="en-US"/>
              </w:rPr>
              <w:t>2400 ± 543.1</w:t>
            </w:r>
            <w:r w:rsidRPr="00C52AEF">
              <w:rPr>
                <w:rFonts w:eastAsia="Calibri"/>
                <w:vertAlign w:val="superscript"/>
                <w:lang w:eastAsia="en-US"/>
              </w:rPr>
              <w:t>c</w:t>
            </w:r>
          </w:p>
        </w:tc>
      </w:tr>
      <w:tr w:rsidR="00C52AEF" w:rsidRPr="00C52AEF" w14:paraId="612D6016" w14:textId="77777777" w:rsidTr="00C52AEF">
        <w:tc>
          <w:tcPr>
            <w:tcW w:w="2105" w:type="dxa"/>
          </w:tcPr>
          <w:p w14:paraId="67AF3501" w14:textId="77777777" w:rsidR="00C52AEF" w:rsidRPr="00C52AEF" w:rsidRDefault="00C52AEF" w:rsidP="00C52AEF">
            <w:pPr>
              <w:jc w:val="center"/>
              <w:rPr>
                <w:rFonts w:eastAsia="Calibri"/>
                <w:lang w:eastAsia="en-US"/>
              </w:rPr>
            </w:pPr>
            <w:r w:rsidRPr="00C52AEF">
              <w:rPr>
                <w:rFonts w:eastAsia="Calibri"/>
                <w:lang w:eastAsia="en-US"/>
              </w:rPr>
              <w:t>T1</w:t>
            </w:r>
          </w:p>
        </w:tc>
        <w:tc>
          <w:tcPr>
            <w:tcW w:w="2131" w:type="dxa"/>
          </w:tcPr>
          <w:p w14:paraId="47915E33" w14:textId="77777777" w:rsidR="00C52AEF" w:rsidRPr="00C52AEF" w:rsidRDefault="00C52AEF" w:rsidP="00C52AEF">
            <w:pPr>
              <w:jc w:val="center"/>
              <w:rPr>
                <w:rFonts w:eastAsia="Calibri"/>
                <w:vertAlign w:val="superscript"/>
                <w:lang w:eastAsia="en-US"/>
              </w:rPr>
            </w:pPr>
            <w:r w:rsidRPr="00C52AEF">
              <w:rPr>
                <w:rFonts w:eastAsia="Calibri"/>
                <w:lang w:eastAsia="en-US"/>
              </w:rPr>
              <w:t>6800 ± 1100.0</w:t>
            </w:r>
            <w:r w:rsidRPr="00C52AEF">
              <w:rPr>
                <w:rFonts w:eastAsia="Calibri"/>
                <w:vertAlign w:val="superscript"/>
                <w:lang w:eastAsia="en-US"/>
              </w:rPr>
              <w:t>ab</w:t>
            </w:r>
          </w:p>
        </w:tc>
        <w:tc>
          <w:tcPr>
            <w:tcW w:w="2137" w:type="dxa"/>
          </w:tcPr>
          <w:p w14:paraId="2ED7A784" w14:textId="77777777" w:rsidR="00C52AEF" w:rsidRPr="00C52AEF" w:rsidRDefault="00C52AEF" w:rsidP="00C52AEF">
            <w:pPr>
              <w:jc w:val="center"/>
              <w:rPr>
                <w:rFonts w:eastAsia="Calibri"/>
                <w:vertAlign w:val="superscript"/>
                <w:lang w:eastAsia="en-US"/>
              </w:rPr>
            </w:pPr>
            <w:r w:rsidRPr="00C52AEF">
              <w:rPr>
                <w:rFonts w:eastAsia="Calibri"/>
                <w:lang w:eastAsia="en-US"/>
              </w:rPr>
              <w:t>4480 ± 749.7</w:t>
            </w:r>
            <w:r w:rsidRPr="00C52AEF">
              <w:rPr>
                <w:rFonts w:eastAsia="Calibri"/>
                <w:vertAlign w:val="superscript"/>
                <w:lang w:eastAsia="en-US"/>
              </w:rPr>
              <w:t>ab</w:t>
            </w:r>
          </w:p>
        </w:tc>
        <w:tc>
          <w:tcPr>
            <w:tcW w:w="2132" w:type="dxa"/>
          </w:tcPr>
          <w:p w14:paraId="22423664" w14:textId="77777777" w:rsidR="00C52AEF" w:rsidRPr="00C52AEF" w:rsidRDefault="00C52AEF" w:rsidP="00C52AEF">
            <w:pPr>
              <w:jc w:val="center"/>
              <w:rPr>
                <w:rFonts w:eastAsia="Calibri"/>
                <w:vertAlign w:val="superscript"/>
                <w:lang w:eastAsia="en-US"/>
              </w:rPr>
            </w:pPr>
            <w:r w:rsidRPr="00C52AEF">
              <w:rPr>
                <w:rFonts w:eastAsia="Calibri"/>
                <w:lang w:eastAsia="en-US"/>
              </w:rPr>
              <w:t>2060 ± 270.2</w:t>
            </w:r>
            <w:r w:rsidRPr="00C52AEF">
              <w:rPr>
                <w:rFonts w:eastAsia="Calibri"/>
                <w:vertAlign w:val="superscript"/>
                <w:lang w:eastAsia="en-US"/>
              </w:rPr>
              <w:t>bc</w:t>
            </w:r>
          </w:p>
        </w:tc>
      </w:tr>
      <w:tr w:rsidR="00C52AEF" w:rsidRPr="00C52AEF" w14:paraId="4AEC09E3" w14:textId="77777777" w:rsidTr="00C52AEF">
        <w:tc>
          <w:tcPr>
            <w:tcW w:w="2105" w:type="dxa"/>
          </w:tcPr>
          <w:p w14:paraId="24CC09F4" w14:textId="77777777" w:rsidR="00C52AEF" w:rsidRPr="00C52AEF" w:rsidRDefault="00C52AEF" w:rsidP="00C52AEF">
            <w:pPr>
              <w:jc w:val="center"/>
              <w:rPr>
                <w:rFonts w:eastAsia="Calibri"/>
                <w:lang w:eastAsia="en-US"/>
              </w:rPr>
            </w:pPr>
            <w:r w:rsidRPr="00C52AEF">
              <w:rPr>
                <w:rFonts w:eastAsia="Calibri"/>
                <w:lang w:eastAsia="en-US"/>
              </w:rPr>
              <w:t>T2</w:t>
            </w:r>
          </w:p>
        </w:tc>
        <w:tc>
          <w:tcPr>
            <w:tcW w:w="2131" w:type="dxa"/>
          </w:tcPr>
          <w:p w14:paraId="42A6A6F0" w14:textId="77777777" w:rsidR="00C52AEF" w:rsidRPr="00C52AEF" w:rsidRDefault="00C52AEF" w:rsidP="00C52AEF">
            <w:pPr>
              <w:jc w:val="center"/>
              <w:rPr>
                <w:rFonts w:eastAsia="Calibri"/>
                <w:vertAlign w:val="superscript"/>
                <w:lang w:eastAsia="en-US"/>
              </w:rPr>
            </w:pPr>
            <w:r w:rsidRPr="00C52AEF">
              <w:rPr>
                <w:rFonts w:eastAsia="Calibri"/>
                <w:lang w:eastAsia="en-US"/>
              </w:rPr>
              <w:t>5180 ± 807.5</w:t>
            </w:r>
            <w:r w:rsidRPr="00C52AEF">
              <w:rPr>
                <w:rFonts w:eastAsia="Calibri"/>
                <w:vertAlign w:val="superscript"/>
                <w:lang w:eastAsia="en-US"/>
              </w:rPr>
              <w:t>a</w:t>
            </w:r>
          </w:p>
        </w:tc>
        <w:tc>
          <w:tcPr>
            <w:tcW w:w="2137" w:type="dxa"/>
          </w:tcPr>
          <w:p w14:paraId="0E5F221A" w14:textId="77777777" w:rsidR="00C52AEF" w:rsidRPr="00C52AEF" w:rsidRDefault="00C52AEF" w:rsidP="00C52AEF">
            <w:pPr>
              <w:jc w:val="center"/>
              <w:rPr>
                <w:rFonts w:eastAsia="Calibri"/>
                <w:vertAlign w:val="superscript"/>
                <w:lang w:eastAsia="en-US"/>
              </w:rPr>
            </w:pPr>
            <w:r w:rsidRPr="00C52AEF">
              <w:rPr>
                <w:rFonts w:eastAsia="Calibri"/>
                <w:lang w:eastAsia="en-US"/>
              </w:rPr>
              <w:t>3480 ± 521.5</w:t>
            </w:r>
            <w:r w:rsidRPr="00C52AEF">
              <w:rPr>
                <w:rFonts w:eastAsia="Calibri"/>
                <w:vertAlign w:val="superscript"/>
                <w:lang w:eastAsia="en-US"/>
              </w:rPr>
              <w:t>a</w:t>
            </w:r>
          </w:p>
        </w:tc>
        <w:tc>
          <w:tcPr>
            <w:tcW w:w="2132" w:type="dxa"/>
          </w:tcPr>
          <w:p w14:paraId="72ABFBE9" w14:textId="77777777" w:rsidR="00C52AEF" w:rsidRPr="00C52AEF" w:rsidRDefault="00C52AEF" w:rsidP="00C52AEF">
            <w:pPr>
              <w:jc w:val="center"/>
              <w:rPr>
                <w:rFonts w:eastAsia="Calibri"/>
                <w:vertAlign w:val="superscript"/>
                <w:lang w:eastAsia="en-US"/>
              </w:rPr>
            </w:pPr>
            <w:r w:rsidRPr="00C52AEF">
              <w:rPr>
                <w:rFonts w:eastAsia="Calibri"/>
                <w:lang w:eastAsia="en-US"/>
              </w:rPr>
              <w:t>1420 ± 216.8</w:t>
            </w:r>
            <w:r w:rsidRPr="00C52AEF">
              <w:rPr>
                <w:rFonts w:eastAsia="Calibri"/>
                <w:vertAlign w:val="superscript"/>
                <w:lang w:eastAsia="en-US"/>
              </w:rPr>
              <w:t>ab</w:t>
            </w:r>
          </w:p>
        </w:tc>
      </w:tr>
      <w:tr w:rsidR="00C52AEF" w:rsidRPr="00C52AEF" w14:paraId="17954291" w14:textId="77777777" w:rsidTr="00C52AEF">
        <w:tc>
          <w:tcPr>
            <w:tcW w:w="2105" w:type="dxa"/>
            <w:tcBorders>
              <w:bottom w:val="single" w:sz="4" w:space="0" w:color="auto"/>
            </w:tcBorders>
          </w:tcPr>
          <w:p w14:paraId="5C442733" w14:textId="77777777" w:rsidR="00C52AEF" w:rsidRPr="00C52AEF" w:rsidRDefault="00C52AEF" w:rsidP="00C52AEF">
            <w:pPr>
              <w:jc w:val="center"/>
              <w:rPr>
                <w:rFonts w:eastAsia="Calibri"/>
                <w:lang w:eastAsia="en-US"/>
              </w:rPr>
            </w:pPr>
            <w:r w:rsidRPr="00C52AEF">
              <w:rPr>
                <w:rFonts w:eastAsia="Calibri"/>
                <w:lang w:eastAsia="en-US"/>
              </w:rPr>
              <w:t>T3</w:t>
            </w:r>
          </w:p>
        </w:tc>
        <w:tc>
          <w:tcPr>
            <w:tcW w:w="2131" w:type="dxa"/>
            <w:tcBorders>
              <w:bottom w:val="single" w:sz="4" w:space="0" w:color="auto"/>
            </w:tcBorders>
          </w:tcPr>
          <w:p w14:paraId="3DA0B249" w14:textId="77777777" w:rsidR="00C52AEF" w:rsidRPr="00C52AEF" w:rsidRDefault="00C52AEF" w:rsidP="00C52AEF">
            <w:pPr>
              <w:jc w:val="center"/>
              <w:rPr>
                <w:rFonts w:eastAsia="Calibri"/>
                <w:vertAlign w:val="superscript"/>
                <w:lang w:eastAsia="en-US"/>
              </w:rPr>
            </w:pPr>
            <w:r w:rsidRPr="00C52AEF">
              <w:rPr>
                <w:rFonts w:eastAsia="Calibri"/>
                <w:lang w:eastAsia="en-US"/>
              </w:rPr>
              <w:t>5000 ± 1585.9</w:t>
            </w:r>
            <w:r w:rsidRPr="00C52AEF">
              <w:rPr>
                <w:rFonts w:eastAsia="Calibri"/>
                <w:vertAlign w:val="superscript"/>
                <w:lang w:eastAsia="en-US"/>
              </w:rPr>
              <w:t>a</w:t>
            </w:r>
          </w:p>
        </w:tc>
        <w:tc>
          <w:tcPr>
            <w:tcW w:w="2137" w:type="dxa"/>
            <w:tcBorders>
              <w:bottom w:val="single" w:sz="4" w:space="0" w:color="auto"/>
            </w:tcBorders>
          </w:tcPr>
          <w:p w14:paraId="58E45D6E" w14:textId="77777777" w:rsidR="00C52AEF" w:rsidRPr="00C52AEF" w:rsidRDefault="00C52AEF" w:rsidP="00C52AEF">
            <w:pPr>
              <w:jc w:val="center"/>
              <w:rPr>
                <w:rFonts w:eastAsia="Calibri"/>
                <w:vertAlign w:val="superscript"/>
                <w:lang w:eastAsia="en-US"/>
              </w:rPr>
            </w:pPr>
            <w:r w:rsidRPr="00C52AEF">
              <w:rPr>
                <w:rFonts w:eastAsia="Calibri"/>
                <w:lang w:eastAsia="en-US"/>
              </w:rPr>
              <w:t>3300 ± 989.9</w:t>
            </w:r>
            <w:r w:rsidRPr="00C52AEF">
              <w:rPr>
                <w:rFonts w:eastAsia="Calibri"/>
                <w:vertAlign w:val="superscript"/>
                <w:lang w:eastAsia="en-US"/>
              </w:rPr>
              <w:t>a</w:t>
            </w:r>
          </w:p>
        </w:tc>
        <w:tc>
          <w:tcPr>
            <w:tcW w:w="2132" w:type="dxa"/>
            <w:tcBorders>
              <w:bottom w:val="single" w:sz="4" w:space="0" w:color="auto"/>
            </w:tcBorders>
          </w:tcPr>
          <w:p w14:paraId="4BE126AB" w14:textId="77777777" w:rsidR="00C52AEF" w:rsidRPr="00C52AEF" w:rsidRDefault="00C52AEF" w:rsidP="00C52AEF">
            <w:pPr>
              <w:jc w:val="center"/>
              <w:rPr>
                <w:rFonts w:eastAsia="Calibri"/>
                <w:vertAlign w:val="superscript"/>
                <w:lang w:eastAsia="en-US"/>
              </w:rPr>
            </w:pPr>
            <w:r w:rsidRPr="00C52AEF">
              <w:rPr>
                <w:rFonts w:eastAsia="Calibri"/>
                <w:lang w:eastAsia="en-US"/>
              </w:rPr>
              <w:t>1280 ± 759.6</w:t>
            </w:r>
            <w:r w:rsidRPr="00C52AEF">
              <w:rPr>
                <w:rFonts w:eastAsia="Calibri"/>
                <w:vertAlign w:val="superscript"/>
                <w:lang w:eastAsia="en-US"/>
              </w:rPr>
              <w:t>a</w:t>
            </w:r>
          </w:p>
        </w:tc>
      </w:tr>
    </w:tbl>
    <w:p w14:paraId="0AE6E2E6" w14:textId="1CE38A4E" w:rsidR="00C52AEF" w:rsidRPr="00C52AEF" w:rsidRDefault="00C52AEF" w:rsidP="00C52AEF">
      <w:pPr>
        <w:ind w:left="567" w:hanging="567"/>
        <w:jc w:val="both"/>
        <w:rPr>
          <w:rFonts w:eastAsia="Calibri"/>
          <w:sz w:val="20"/>
          <w:szCs w:val="20"/>
          <w:lang w:eastAsia="en-US"/>
        </w:rPr>
      </w:pPr>
      <w:r w:rsidRPr="00C52AEF">
        <w:rPr>
          <w:rFonts w:eastAsia="Calibri"/>
          <w:sz w:val="20"/>
          <w:szCs w:val="20"/>
          <w:lang w:eastAsia="en-US"/>
        </w:rPr>
        <w:t>Note: different letters (</w:t>
      </w:r>
      <w:r w:rsidRPr="00C52AEF">
        <w:rPr>
          <w:rFonts w:eastAsia="Calibri"/>
          <w:sz w:val="20"/>
          <w:szCs w:val="20"/>
          <w:lang w:eastAsia="en-US"/>
        </w:rPr>
        <w:t>a, b</w:t>
      </w:r>
      <w:r w:rsidRPr="00C52AEF">
        <w:rPr>
          <w:rFonts w:eastAsia="Calibri"/>
          <w:sz w:val="20"/>
          <w:szCs w:val="20"/>
          <w:lang w:eastAsia="en-US"/>
        </w:rPr>
        <w:t>,</w:t>
      </w:r>
      <w:r>
        <w:rPr>
          <w:rFonts w:eastAsia="Calibri"/>
          <w:sz w:val="20"/>
          <w:szCs w:val="20"/>
          <w:lang w:eastAsia="en-US"/>
        </w:rPr>
        <w:t xml:space="preserve"> </w:t>
      </w:r>
      <w:r w:rsidRPr="00C52AEF">
        <w:rPr>
          <w:rFonts w:eastAsia="Calibri"/>
          <w:sz w:val="20"/>
          <w:szCs w:val="20"/>
          <w:lang w:eastAsia="en-US"/>
        </w:rPr>
        <w:t>c) indicate significant differences, K-: normal control, K+: Control with paracetamol induction 600 mg/kg bb. T1, T2, and T3: paracetamol induction group and green tea extract 175 mg, 350 mg and 700 mg/kg bb.</w:t>
      </w:r>
    </w:p>
    <w:p w14:paraId="569B44CE" w14:textId="77777777" w:rsidR="00C52AEF" w:rsidRPr="00C52AEF" w:rsidRDefault="00C52AEF" w:rsidP="00C52AEF">
      <w:pPr>
        <w:jc w:val="both"/>
        <w:rPr>
          <w:rFonts w:eastAsia="Calibri"/>
          <w:lang w:eastAsia="en-US"/>
        </w:rPr>
      </w:pPr>
    </w:p>
    <w:p w14:paraId="1DAB75F8" w14:textId="77777777" w:rsidR="00C52AEF" w:rsidRPr="00C52AEF" w:rsidRDefault="00C52AEF" w:rsidP="00C52AEF">
      <w:pPr>
        <w:ind w:firstLine="567"/>
        <w:jc w:val="both"/>
        <w:rPr>
          <w:rFonts w:eastAsia="Calibri"/>
          <w:lang w:eastAsia="en-US"/>
        </w:rPr>
      </w:pPr>
      <w:r w:rsidRPr="00C52AEF">
        <w:rPr>
          <w:rFonts w:eastAsia="Calibri"/>
          <w:lang w:eastAsia="en-US"/>
        </w:rPr>
        <w:t>The results of the ANOVA statistical test, as shown in Table 1, indicate that the administration of GTE had a significant effect (p &lt; 0.05) on reducing the total number of leukocytes, lymphocytes, and neutrophils in rats. The number of total leukocytes in the K+ group was significantly different from all groups. The K- group was significantly different from T2 and T3. There was no significant difference in the number of lymphocytes between the treatment group and between treatment groups. The number of neutrophils in K+ was significantly different from all groups except T1.</w:t>
      </w:r>
    </w:p>
    <w:p w14:paraId="55D96A7B" w14:textId="77777777" w:rsidR="00C52AEF" w:rsidRPr="00C52AEF" w:rsidRDefault="00C52AEF" w:rsidP="00C52AEF">
      <w:pPr>
        <w:jc w:val="both"/>
        <w:rPr>
          <w:rFonts w:eastAsia="Calibri"/>
          <w:lang w:eastAsia="en-US"/>
        </w:rPr>
      </w:pPr>
    </w:p>
    <w:p w14:paraId="10D6E427" w14:textId="77777777" w:rsidR="00C52AEF" w:rsidRPr="00C52AEF" w:rsidRDefault="00C52AEF" w:rsidP="00C52AEF">
      <w:pPr>
        <w:keepNext/>
        <w:rPr>
          <w:sz w:val="20"/>
          <w:szCs w:val="20"/>
        </w:rPr>
      </w:pPr>
      <w:r w:rsidRPr="00C52AEF">
        <w:rPr>
          <w:sz w:val="20"/>
          <w:szCs w:val="20"/>
        </w:rPr>
        <w:t xml:space="preserve">Table </w:t>
      </w:r>
      <w:r w:rsidRPr="00C52AEF">
        <w:rPr>
          <w:sz w:val="20"/>
          <w:szCs w:val="20"/>
        </w:rPr>
        <w:fldChar w:fldCharType="begin"/>
      </w:r>
      <w:r w:rsidRPr="00C52AEF">
        <w:rPr>
          <w:sz w:val="20"/>
          <w:szCs w:val="20"/>
        </w:rPr>
        <w:instrText xml:space="preserve"> SEQ Table \* ARABIC </w:instrText>
      </w:r>
      <w:r w:rsidRPr="00C52AEF">
        <w:rPr>
          <w:sz w:val="20"/>
          <w:szCs w:val="20"/>
        </w:rPr>
        <w:fldChar w:fldCharType="separate"/>
      </w:r>
      <w:r w:rsidRPr="00C52AEF">
        <w:rPr>
          <w:noProof/>
          <w:sz w:val="20"/>
          <w:szCs w:val="20"/>
        </w:rPr>
        <w:t>2</w:t>
      </w:r>
      <w:r w:rsidRPr="00C52AEF">
        <w:rPr>
          <w:sz w:val="20"/>
          <w:szCs w:val="20"/>
        </w:rPr>
        <w:fldChar w:fldCharType="end"/>
      </w:r>
      <w:r w:rsidRPr="00C52AEF">
        <w:rPr>
          <w:sz w:val="20"/>
          <w:szCs w:val="20"/>
        </w:rPr>
        <w:t>. Mean and Standard Deviation of Transaminase Levels in All Groups</w:t>
      </w:r>
    </w:p>
    <w:tbl>
      <w:tblPr>
        <w:tblStyle w:val="TableGrid"/>
        <w:tblW w:w="8613" w:type="dxa"/>
        <w:tblLook w:val="04A0" w:firstRow="1" w:lastRow="0" w:firstColumn="1" w:lastColumn="0" w:noHBand="0" w:noVBand="1"/>
      </w:tblPr>
      <w:tblGrid>
        <w:gridCol w:w="2518"/>
        <w:gridCol w:w="3402"/>
        <w:gridCol w:w="2693"/>
      </w:tblGrid>
      <w:tr w:rsidR="00C52AEF" w:rsidRPr="00C52AEF" w14:paraId="49CB484B" w14:textId="77777777" w:rsidTr="00CD70AD">
        <w:trPr>
          <w:trHeight w:val="429"/>
        </w:trPr>
        <w:tc>
          <w:tcPr>
            <w:tcW w:w="2518" w:type="dxa"/>
            <w:tcBorders>
              <w:top w:val="single" w:sz="4" w:space="0" w:color="auto"/>
              <w:left w:val="nil"/>
              <w:bottom w:val="single" w:sz="4" w:space="0" w:color="auto"/>
              <w:right w:val="nil"/>
            </w:tcBorders>
            <w:vAlign w:val="center"/>
          </w:tcPr>
          <w:p w14:paraId="1EFB5C20" w14:textId="77777777" w:rsidR="00C52AEF" w:rsidRPr="00C52AEF" w:rsidRDefault="00C52AEF" w:rsidP="00C52AEF">
            <w:pPr>
              <w:suppressAutoHyphens w:val="0"/>
              <w:spacing w:line="276" w:lineRule="auto"/>
              <w:ind w:hanging="2"/>
              <w:jc w:val="center"/>
              <w:rPr>
                <w:rFonts w:eastAsia="SimSun"/>
                <w:b/>
                <w:bCs/>
                <w:spacing w:val="-1"/>
                <w:lang w:val="id-ID" w:eastAsia="en-US"/>
              </w:rPr>
            </w:pPr>
            <w:r w:rsidRPr="00C52AEF">
              <w:rPr>
                <w:rFonts w:eastAsia="SimSun"/>
                <w:b/>
                <w:bCs/>
                <w:spacing w:val="-1"/>
                <w:lang w:val="id-ID" w:eastAsia="en-US"/>
              </w:rPr>
              <w:t>Groups</w:t>
            </w:r>
          </w:p>
        </w:tc>
        <w:tc>
          <w:tcPr>
            <w:tcW w:w="3402" w:type="dxa"/>
            <w:tcBorders>
              <w:top w:val="single" w:sz="4" w:space="0" w:color="auto"/>
              <w:left w:val="nil"/>
              <w:bottom w:val="single" w:sz="4" w:space="0" w:color="auto"/>
              <w:right w:val="nil"/>
            </w:tcBorders>
            <w:vAlign w:val="center"/>
          </w:tcPr>
          <w:p w14:paraId="2C09F4B1" w14:textId="77777777" w:rsidR="00C52AEF" w:rsidRPr="00C52AEF" w:rsidRDefault="00C52AEF" w:rsidP="00C52AEF">
            <w:pPr>
              <w:suppressAutoHyphens w:val="0"/>
              <w:spacing w:line="276" w:lineRule="auto"/>
              <w:ind w:hanging="2"/>
              <w:jc w:val="center"/>
              <w:rPr>
                <w:rFonts w:eastAsia="SimSun"/>
                <w:b/>
                <w:bCs/>
                <w:spacing w:val="-1"/>
                <w:lang w:val="id-ID" w:eastAsia="en-US"/>
              </w:rPr>
            </w:pPr>
            <w:r w:rsidRPr="00C52AEF">
              <w:rPr>
                <w:rFonts w:eastAsia="SimSun"/>
                <w:b/>
                <w:bCs/>
                <w:spacing w:val="-1"/>
                <w:lang w:val="id-ID" w:eastAsia="en-US"/>
              </w:rPr>
              <w:t>AST (U/L)</w:t>
            </w:r>
          </w:p>
        </w:tc>
        <w:tc>
          <w:tcPr>
            <w:tcW w:w="2693" w:type="dxa"/>
            <w:tcBorders>
              <w:top w:val="single" w:sz="4" w:space="0" w:color="auto"/>
              <w:left w:val="nil"/>
              <w:bottom w:val="single" w:sz="4" w:space="0" w:color="auto"/>
              <w:right w:val="nil"/>
            </w:tcBorders>
            <w:vAlign w:val="center"/>
          </w:tcPr>
          <w:p w14:paraId="14FD0591" w14:textId="77777777" w:rsidR="00C52AEF" w:rsidRPr="00C52AEF" w:rsidRDefault="00C52AEF" w:rsidP="00C52AEF">
            <w:pPr>
              <w:suppressAutoHyphens w:val="0"/>
              <w:spacing w:line="276" w:lineRule="auto"/>
              <w:ind w:hanging="2"/>
              <w:jc w:val="center"/>
              <w:rPr>
                <w:rFonts w:eastAsia="SimSun"/>
                <w:b/>
                <w:bCs/>
                <w:spacing w:val="-1"/>
                <w:vertAlign w:val="superscript"/>
                <w:lang w:val="id-ID" w:eastAsia="en-US"/>
              </w:rPr>
            </w:pPr>
            <w:r w:rsidRPr="00C52AEF">
              <w:rPr>
                <w:rFonts w:eastAsia="SimSun"/>
                <w:b/>
                <w:bCs/>
                <w:spacing w:val="-1"/>
                <w:lang w:val="id-ID" w:eastAsia="en-US"/>
              </w:rPr>
              <w:t>ALT (U/L)</w:t>
            </w:r>
            <w:r w:rsidRPr="00C52AEF">
              <w:rPr>
                <w:rFonts w:eastAsia="SimSun"/>
                <w:b/>
                <w:bCs/>
                <w:spacing w:val="-1"/>
                <w:vertAlign w:val="superscript"/>
                <w:lang w:val="id-ID" w:eastAsia="en-US"/>
              </w:rPr>
              <w:t>ns</w:t>
            </w:r>
          </w:p>
        </w:tc>
      </w:tr>
      <w:tr w:rsidR="00C52AEF" w:rsidRPr="00C52AEF" w14:paraId="1DFAE74A" w14:textId="77777777" w:rsidTr="00CD70AD">
        <w:tc>
          <w:tcPr>
            <w:tcW w:w="2518" w:type="dxa"/>
            <w:tcBorders>
              <w:left w:val="nil"/>
              <w:bottom w:val="nil"/>
              <w:right w:val="nil"/>
            </w:tcBorders>
            <w:vAlign w:val="center"/>
          </w:tcPr>
          <w:p w14:paraId="16A13D11" w14:textId="77777777" w:rsidR="00C52AEF" w:rsidRPr="00C52AEF" w:rsidRDefault="00C52AEF" w:rsidP="00C52AEF">
            <w:pPr>
              <w:suppressAutoHyphens w:val="0"/>
              <w:spacing w:line="276" w:lineRule="auto"/>
              <w:ind w:hanging="2"/>
              <w:jc w:val="center"/>
              <w:rPr>
                <w:rFonts w:eastAsia="SimSun"/>
                <w:spacing w:val="-1"/>
                <w:lang w:val="id-ID" w:eastAsia="en-US"/>
              </w:rPr>
            </w:pPr>
            <w:r w:rsidRPr="00C52AEF">
              <w:rPr>
                <w:rFonts w:eastAsia="SimSun"/>
                <w:spacing w:val="-1"/>
                <w:lang w:eastAsia="en-US"/>
              </w:rPr>
              <w:t>K-</w:t>
            </w:r>
          </w:p>
        </w:tc>
        <w:tc>
          <w:tcPr>
            <w:tcW w:w="3402" w:type="dxa"/>
            <w:tcBorders>
              <w:left w:val="nil"/>
              <w:bottom w:val="nil"/>
              <w:right w:val="nil"/>
            </w:tcBorders>
          </w:tcPr>
          <w:p w14:paraId="42B06428"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134</w:t>
            </w:r>
            <w:r w:rsidRPr="00C52AEF">
              <w:rPr>
                <w:rFonts w:eastAsia="SimSun"/>
                <w:spacing w:val="-1"/>
                <w:lang w:val="id-ID" w:eastAsia="en-US"/>
              </w:rPr>
              <w:t>.</w:t>
            </w:r>
            <w:r w:rsidRPr="00C52AEF">
              <w:rPr>
                <w:rFonts w:eastAsia="SimSun"/>
                <w:spacing w:val="-1"/>
                <w:lang w:eastAsia="en-US"/>
              </w:rPr>
              <w:t>92 ± 10</w:t>
            </w:r>
            <w:r w:rsidRPr="00C52AEF">
              <w:rPr>
                <w:rFonts w:eastAsia="SimSun"/>
                <w:spacing w:val="-1"/>
                <w:lang w:val="id-ID" w:eastAsia="en-US"/>
              </w:rPr>
              <w:t>.</w:t>
            </w:r>
            <w:r w:rsidRPr="00C52AEF">
              <w:rPr>
                <w:rFonts w:eastAsia="SimSun"/>
                <w:spacing w:val="-1"/>
                <w:lang w:eastAsia="en-US"/>
              </w:rPr>
              <w:t>43</w:t>
            </w:r>
            <w:r w:rsidRPr="00C52AEF">
              <w:rPr>
                <w:rFonts w:eastAsia="SimSun"/>
                <w:spacing w:val="-1"/>
                <w:vertAlign w:val="superscript"/>
                <w:lang w:eastAsia="en-US"/>
              </w:rPr>
              <w:t>a</w:t>
            </w:r>
          </w:p>
        </w:tc>
        <w:tc>
          <w:tcPr>
            <w:tcW w:w="2693" w:type="dxa"/>
            <w:vMerge w:val="restart"/>
            <w:tcBorders>
              <w:left w:val="nil"/>
              <w:right w:val="nil"/>
            </w:tcBorders>
          </w:tcPr>
          <w:p w14:paraId="03FF281A"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68</w:t>
            </w:r>
            <w:r w:rsidRPr="00C52AEF">
              <w:rPr>
                <w:rFonts w:eastAsia="SimSun"/>
                <w:spacing w:val="-1"/>
                <w:lang w:val="id-ID" w:eastAsia="en-US"/>
              </w:rPr>
              <w:t>.</w:t>
            </w:r>
            <w:r w:rsidRPr="00C52AEF">
              <w:rPr>
                <w:rFonts w:eastAsia="SimSun"/>
                <w:spacing w:val="-1"/>
                <w:lang w:eastAsia="en-US"/>
              </w:rPr>
              <w:t>97 ± 18</w:t>
            </w:r>
            <w:r w:rsidRPr="00C52AEF">
              <w:rPr>
                <w:rFonts w:eastAsia="SimSun"/>
                <w:spacing w:val="-1"/>
                <w:lang w:val="id-ID" w:eastAsia="en-US"/>
              </w:rPr>
              <w:t>.</w:t>
            </w:r>
            <w:r w:rsidRPr="00C52AEF">
              <w:rPr>
                <w:rFonts w:eastAsia="SimSun"/>
                <w:spacing w:val="-1"/>
                <w:lang w:eastAsia="en-US"/>
              </w:rPr>
              <w:t>12</w:t>
            </w:r>
          </w:p>
          <w:p w14:paraId="6EB2318D"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79</w:t>
            </w:r>
            <w:r w:rsidRPr="00C52AEF">
              <w:rPr>
                <w:rFonts w:eastAsia="SimSun"/>
                <w:spacing w:val="-1"/>
                <w:lang w:val="id-ID" w:eastAsia="en-US"/>
              </w:rPr>
              <w:t>.</w:t>
            </w:r>
            <w:r w:rsidRPr="00C52AEF">
              <w:rPr>
                <w:rFonts w:eastAsia="SimSun"/>
                <w:spacing w:val="-1"/>
                <w:lang w:eastAsia="en-US"/>
              </w:rPr>
              <w:t>3</w:t>
            </w:r>
            <w:r w:rsidRPr="00C52AEF">
              <w:rPr>
                <w:rFonts w:eastAsia="SimSun"/>
                <w:spacing w:val="-1"/>
                <w:lang w:val="id-ID" w:eastAsia="en-US"/>
              </w:rPr>
              <w:t>0</w:t>
            </w:r>
            <w:r w:rsidRPr="00C52AEF">
              <w:rPr>
                <w:rFonts w:eastAsia="SimSun"/>
                <w:spacing w:val="-1"/>
                <w:lang w:eastAsia="en-US"/>
              </w:rPr>
              <w:t xml:space="preserve"> ± 5</w:t>
            </w:r>
            <w:r w:rsidRPr="00C52AEF">
              <w:rPr>
                <w:rFonts w:eastAsia="SimSun"/>
                <w:spacing w:val="-1"/>
                <w:lang w:val="id-ID" w:eastAsia="en-US"/>
              </w:rPr>
              <w:t>.</w:t>
            </w:r>
            <w:r w:rsidRPr="00C52AEF">
              <w:rPr>
                <w:rFonts w:eastAsia="SimSun"/>
                <w:spacing w:val="-1"/>
                <w:lang w:eastAsia="en-US"/>
              </w:rPr>
              <w:t>96</w:t>
            </w:r>
          </w:p>
          <w:p w14:paraId="4523F2B2"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73</w:t>
            </w:r>
            <w:r w:rsidRPr="00C52AEF">
              <w:rPr>
                <w:rFonts w:eastAsia="SimSun"/>
                <w:spacing w:val="-1"/>
                <w:lang w:val="id-ID" w:eastAsia="en-US"/>
              </w:rPr>
              <w:t>.</w:t>
            </w:r>
            <w:r w:rsidRPr="00C52AEF">
              <w:rPr>
                <w:rFonts w:eastAsia="SimSun"/>
                <w:spacing w:val="-1"/>
                <w:lang w:eastAsia="en-US"/>
              </w:rPr>
              <w:t>97 ± 5</w:t>
            </w:r>
            <w:r w:rsidRPr="00C52AEF">
              <w:rPr>
                <w:rFonts w:eastAsia="SimSun"/>
                <w:spacing w:val="-1"/>
                <w:lang w:val="id-ID" w:eastAsia="en-US"/>
              </w:rPr>
              <w:t>.</w:t>
            </w:r>
            <w:r w:rsidRPr="00C52AEF">
              <w:rPr>
                <w:rFonts w:eastAsia="SimSun"/>
                <w:spacing w:val="-1"/>
                <w:lang w:eastAsia="en-US"/>
              </w:rPr>
              <w:t>26</w:t>
            </w:r>
          </w:p>
          <w:p w14:paraId="0F2275E7"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57</w:t>
            </w:r>
            <w:r w:rsidRPr="00C52AEF">
              <w:rPr>
                <w:rFonts w:eastAsia="SimSun"/>
                <w:spacing w:val="-1"/>
                <w:lang w:val="id-ID" w:eastAsia="en-US"/>
              </w:rPr>
              <w:t>.</w:t>
            </w:r>
            <w:r w:rsidRPr="00C52AEF">
              <w:rPr>
                <w:rFonts w:eastAsia="SimSun"/>
                <w:spacing w:val="-1"/>
                <w:lang w:eastAsia="en-US"/>
              </w:rPr>
              <w:t>44 ± 15</w:t>
            </w:r>
            <w:r w:rsidRPr="00C52AEF">
              <w:rPr>
                <w:rFonts w:eastAsia="SimSun"/>
                <w:spacing w:val="-1"/>
                <w:lang w:val="id-ID" w:eastAsia="en-US"/>
              </w:rPr>
              <w:t>.</w:t>
            </w:r>
            <w:r w:rsidRPr="00C52AEF">
              <w:rPr>
                <w:rFonts w:eastAsia="SimSun"/>
                <w:spacing w:val="-1"/>
                <w:lang w:eastAsia="en-US"/>
              </w:rPr>
              <w:t>58</w:t>
            </w:r>
          </w:p>
          <w:p w14:paraId="3811CD39"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67</w:t>
            </w:r>
            <w:r w:rsidRPr="00C52AEF">
              <w:rPr>
                <w:rFonts w:eastAsia="SimSun"/>
                <w:spacing w:val="-1"/>
                <w:lang w:val="id-ID" w:eastAsia="en-US"/>
              </w:rPr>
              <w:t>.</w:t>
            </w:r>
            <w:r w:rsidRPr="00C52AEF">
              <w:rPr>
                <w:rFonts w:eastAsia="SimSun"/>
                <w:spacing w:val="-1"/>
                <w:lang w:eastAsia="en-US"/>
              </w:rPr>
              <w:t>22 ± 10</w:t>
            </w:r>
            <w:r w:rsidRPr="00C52AEF">
              <w:rPr>
                <w:rFonts w:eastAsia="SimSun"/>
                <w:spacing w:val="-1"/>
                <w:lang w:val="id-ID" w:eastAsia="en-US"/>
              </w:rPr>
              <w:t>.</w:t>
            </w:r>
            <w:r w:rsidRPr="00C52AEF">
              <w:rPr>
                <w:rFonts w:eastAsia="SimSun"/>
                <w:spacing w:val="-1"/>
                <w:lang w:eastAsia="en-US"/>
              </w:rPr>
              <w:t>30</w:t>
            </w:r>
          </w:p>
        </w:tc>
      </w:tr>
      <w:tr w:rsidR="00C52AEF" w:rsidRPr="00C52AEF" w14:paraId="7E73DFF6" w14:textId="77777777" w:rsidTr="00CD70AD">
        <w:tc>
          <w:tcPr>
            <w:tcW w:w="2518" w:type="dxa"/>
            <w:tcBorders>
              <w:top w:val="nil"/>
              <w:left w:val="nil"/>
              <w:bottom w:val="nil"/>
              <w:right w:val="nil"/>
            </w:tcBorders>
            <w:vAlign w:val="center"/>
          </w:tcPr>
          <w:p w14:paraId="3D87C4B8"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K+</w:t>
            </w:r>
          </w:p>
        </w:tc>
        <w:tc>
          <w:tcPr>
            <w:tcW w:w="3402" w:type="dxa"/>
            <w:tcBorders>
              <w:top w:val="nil"/>
              <w:left w:val="nil"/>
              <w:bottom w:val="nil"/>
              <w:right w:val="nil"/>
            </w:tcBorders>
          </w:tcPr>
          <w:p w14:paraId="1C92A196"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162</w:t>
            </w:r>
            <w:r w:rsidRPr="00C52AEF">
              <w:rPr>
                <w:rFonts w:eastAsia="SimSun"/>
                <w:spacing w:val="-1"/>
                <w:lang w:val="id-ID" w:eastAsia="en-US"/>
              </w:rPr>
              <w:t>.</w:t>
            </w:r>
            <w:r w:rsidRPr="00C52AEF">
              <w:rPr>
                <w:rFonts w:eastAsia="SimSun"/>
                <w:spacing w:val="-1"/>
                <w:lang w:eastAsia="en-US"/>
              </w:rPr>
              <w:t>62 ± 16</w:t>
            </w:r>
            <w:r w:rsidRPr="00C52AEF">
              <w:rPr>
                <w:rFonts w:eastAsia="SimSun"/>
                <w:spacing w:val="-1"/>
                <w:lang w:val="id-ID" w:eastAsia="en-US"/>
              </w:rPr>
              <w:t>.</w:t>
            </w:r>
            <w:r w:rsidRPr="00C52AEF">
              <w:rPr>
                <w:rFonts w:eastAsia="SimSun"/>
                <w:spacing w:val="-1"/>
                <w:lang w:eastAsia="en-US"/>
              </w:rPr>
              <w:t>39</w:t>
            </w:r>
            <w:r w:rsidRPr="00C52AEF">
              <w:rPr>
                <w:rFonts w:eastAsia="SimSun"/>
                <w:spacing w:val="-1"/>
                <w:vertAlign w:val="superscript"/>
                <w:lang w:eastAsia="en-US"/>
              </w:rPr>
              <w:t>b</w:t>
            </w:r>
          </w:p>
        </w:tc>
        <w:tc>
          <w:tcPr>
            <w:tcW w:w="2693" w:type="dxa"/>
            <w:vMerge/>
            <w:tcBorders>
              <w:left w:val="nil"/>
              <w:right w:val="nil"/>
            </w:tcBorders>
          </w:tcPr>
          <w:p w14:paraId="404DA9B2"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4C96EB30" w14:textId="77777777" w:rsidTr="00CD70AD">
        <w:tc>
          <w:tcPr>
            <w:tcW w:w="2518" w:type="dxa"/>
            <w:tcBorders>
              <w:top w:val="nil"/>
              <w:left w:val="nil"/>
              <w:bottom w:val="nil"/>
              <w:right w:val="nil"/>
            </w:tcBorders>
            <w:vAlign w:val="center"/>
          </w:tcPr>
          <w:p w14:paraId="3E63D974"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1</w:t>
            </w:r>
          </w:p>
        </w:tc>
        <w:tc>
          <w:tcPr>
            <w:tcW w:w="3402" w:type="dxa"/>
            <w:tcBorders>
              <w:top w:val="nil"/>
              <w:left w:val="nil"/>
              <w:bottom w:val="nil"/>
              <w:right w:val="nil"/>
            </w:tcBorders>
          </w:tcPr>
          <w:p w14:paraId="1799FF00"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202</w:t>
            </w:r>
            <w:r w:rsidRPr="00C52AEF">
              <w:rPr>
                <w:rFonts w:eastAsia="SimSun"/>
                <w:spacing w:val="-1"/>
                <w:lang w:val="id-ID" w:eastAsia="en-US"/>
              </w:rPr>
              <w:t>.</w:t>
            </w:r>
            <w:r w:rsidRPr="00C52AEF">
              <w:rPr>
                <w:rFonts w:eastAsia="SimSun"/>
                <w:spacing w:val="-1"/>
                <w:lang w:eastAsia="en-US"/>
              </w:rPr>
              <w:t>66 ± 30</w:t>
            </w:r>
            <w:r w:rsidRPr="00C52AEF">
              <w:rPr>
                <w:rFonts w:eastAsia="SimSun"/>
                <w:spacing w:val="-1"/>
                <w:lang w:val="id-ID" w:eastAsia="en-US"/>
              </w:rPr>
              <w:t>.</w:t>
            </w:r>
            <w:r w:rsidRPr="00C52AEF">
              <w:rPr>
                <w:rFonts w:eastAsia="SimSun"/>
                <w:spacing w:val="-1"/>
                <w:lang w:eastAsia="en-US"/>
              </w:rPr>
              <w:t>08</w:t>
            </w:r>
            <w:r w:rsidRPr="00C52AEF">
              <w:rPr>
                <w:rFonts w:eastAsia="SimSun"/>
                <w:spacing w:val="-1"/>
                <w:vertAlign w:val="superscript"/>
                <w:lang w:eastAsia="en-US"/>
              </w:rPr>
              <w:t>c</w:t>
            </w:r>
          </w:p>
        </w:tc>
        <w:tc>
          <w:tcPr>
            <w:tcW w:w="2693" w:type="dxa"/>
            <w:vMerge/>
            <w:tcBorders>
              <w:left w:val="nil"/>
              <w:right w:val="nil"/>
            </w:tcBorders>
          </w:tcPr>
          <w:p w14:paraId="09D85DE6"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1A9D7BB1" w14:textId="77777777" w:rsidTr="00CD70AD">
        <w:tc>
          <w:tcPr>
            <w:tcW w:w="2518" w:type="dxa"/>
            <w:tcBorders>
              <w:top w:val="nil"/>
              <w:left w:val="nil"/>
              <w:bottom w:val="nil"/>
              <w:right w:val="nil"/>
            </w:tcBorders>
            <w:vAlign w:val="center"/>
          </w:tcPr>
          <w:p w14:paraId="54C977D6"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2</w:t>
            </w:r>
          </w:p>
        </w:tc>
        <w:tc>
          <w:tcPr>
            <w:tcW w:w="3402" w:type="dxa"/>
            <w:tcBorders>
              <w:top w:val="nil"/>
              <w:left w:val="nil"/>
              <w:bottom w:val="nil"/>
              <w:right w:val="nil"/>
            </w:tcBorders>
          </w:tcPr>
          <w:p w14:paraId="5007400E"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122</w:t>
            </w:r>
            <w:r w:rsidRPr="00C52AEF">
              <w:rPr>
                <w:rFonts w:eastAsia="SimSun"/>
                <w:spacing w:val="-1"/>
                <w:lang w:val="id-ID" w:eastAsia="en-US"/>
              </w:rPr>
              <w:t>.</w:t>
            </w:r>
            <w:r w:rsidRPr="00C52AEF">
              <w:rPr>
                <w:rFonts w:eastAsia="SimSun"/>
                <w:spacing w:val="-1"/>
                <w:lang w:eastAsia="en-US"/>
              </w:rPr>
              <w:t>09 ± 16</w:t>
            </w:r>
            <w:r w:rsidRPr="00C52AEF">
              <w:rPr>
                <w:rFonts w:eastAsia="SimSun"/>
                <w:spacing w:val="-1"/>
                <w:lang w:val="id-ID" w:eastAsia="en-US"/>
              </w:rPr>
              <w:t>.</w:t>
            </w:r>
            <w:r w:rsidRPr="00C52AEF">
              <w:rPr>
                <w:rFonts w:eastAsia="SimSun"/>
                <w:spacing w:val="-1"/>
                <w:lang w:eastAsia="en-US"/>
              </w:rPr>
              <w:t>56</w:t>
            </w:r>
            <w:r w:rsidRPr="00C52AEF">
              <w:rPr>
                <w:rFonts w:eastAsia="SimSun"/>
                <w:spacing w:val="-1"/>
                <w:vertAlign w:val="superscript"/>
                <w:lang w:eastAsia="en-US"/>
              </w:rPr>
              <w:t>a</w:t>
            </w:r>
          </w:p>
        </w:tc>
        <w:tc>
          <w:tcPr>
            <w:tcW w:w="2693" w:type="dxa"/>
            <w:vMerge/>
            <w:tcBorders>
              <w:left w:val="nil"/>
              <w:right w:val="nil"/>
            </w:tcBorders>
          </w:tcPr>
          <w:p w14:paraId="413147D5"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0AD71151" w14:textId="77777777" w:rsidTr="00CD70AD">
        <w:tc>
          <w:tcPr>
            <w:tcW w:w="2518" w:type="dxa"/>
            <w:tcBorders>
              <w:top w:val="nil"/>
              <w:left w:val="nil"/>
              <w:right w:val="nil"/>
            </w:tcBorders>
            <w:vAlign w:val="center"/>
          </w:tcPr>
          <w:p w14:paraId="269EE974"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3</w:t>
            </w:r>
          </w:p>
        </w:tc>
        <w:tc>
          <w:tcPr>
            <w:tcW w:w="3402" w:type="dxa"/>
            <w:tcBorders>
              <w:top w:val="nil"/>
              <w:left w:val="nil"/>
              <w:right w:val="nil"/>
            </w:tcBorders>
          </w:tcPr>
          <w:p w14:paraId="396ECACD"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118</w:t>
            </w:r>
            <w:r w:rsidRPr="00C52AEF">
              <w:rPr>
                <w:rFonts w:eastAsia="SimSun"/>
                <w:spacing w:val="-1"/>
                <w:lang w:val="id-ID" w:eastAsia="en-US"/>
              </w:rPr>
              <w:t>.</w:t>
            </w:r>
            <w:r w:rsidRPr="00C52AEF">
              <w:rPr>
                <w:rFonts w:eastAsia="SimSun"/>
                <w:spacing w:val="-1"/>
                <w:lang w:eastAsia="en-US"/>
              </w:rPr>
              <w:t>00 ± 25</w:t>
            </w:r>
            <w:r w:rsidRPr="00C52AEF">
              <w:rPr>
                <w:rFonts w:eastAsia="SimSun"/>
                <w:spacing w:val="-1"/>
                <w:lang w:val="id-ID" w:eastAsia="en-US"/>
              </w:rPr>
              <w:t>.</w:t>
            </w:r>
            <w:r w:rsidRPr="00C52AEF">
              <w:rPr>
                <w:rFonts w:eastAsia="SimSun"/>
                <w:spacing w:val="-1"/>
                <w:lang w:eastAsia="en-US"/>
              </w:rPr>
              <w:t>37</w:t>
            </w:r>
            <w:r w:rsidRPr="00C52AEF">
              <w:rPr>
                <w:rFonts w:eastAsia="SimSun"/>
                <w:spacing w:val="-1"/>
                <w:vertAlign w:val="superscript"/>
                <w:lang w:eastAsia="en-US"/>
              </w:rPr>
              <w:t>a</w:t>
            </w:r>
          </w:p>
        </w:tc>
        <w:tc>
          <w:tcPr>
            <w:tcW w:w="2693" w:type="dxa"/>
            <w:vMerge/>
            <w:tcBorders>
              <w:left w:val="nil"/>
              <w:right w:val="nil"/>
            </w:tcBorders>
          </w:tcPr>
          <w:p w14:paraId="6A66F522" w14:textId="77777777" w:rsidR="00C52AEF" w:rsidRPr="00C52AEF" w:rsidRDefault="00C52AEF" w:rsidP="00C52AEF">
            <w:pPr>
              <w:suppressAutoHyphens w:val="0"/>
              <w:spacing w:line="276" w:lineRule="auto"/>
              <w:ind w:hanging="2"/>
              <w:jc w:val="center"/>
              <w:rPr>
                <w:rFonts w:eastAsia="SimSun"/>
                <w:spacing w:val="-1"/>
                <w:lang w:eastAsia="en-US"/>
              </w:rPr>
            </w:pPr>
          </w:p>
        </w:tc>
      </w:tr>
    </w:tbl>
    <w:p w14:paraId="77BFFC7B" w14:textId="3E6D94A2" w:rsidR="00C52AEF" w:rsidRPr="00C52AEF" w:rsidRDefault="00C52AEF" w:rsidP="00C52AEF">
      <w:pPr>
        <w:spacing w:line="276" w:lineRule="auto"/>
        <w:rPr>
          <w:rFonts w:eastAsia="Calibri"/>
          <w:sz w:val="20"/>
          <w:szCs w:val="20"/>
          <w:lang w:eastAsia="en-US"/>
        </w:rPr>
      </w:pPr>
      <w:r w:rsidRPr="00C52AEF">
        <w:rPr>
          <w:rFonts w:eastAsia="Calibri"/>
          <w:sz w:val="20"/>
          <w:szCs w:val="20"/>
          <w:lang w:eastAsia="en-US"/>
        </w:rPr>
        <w:t>Note: different letters (a,</w:t>
      </w:r>
      <w:r>
        <w:rPr>
          <w:rFonts w:eastAsia="Calibri"/>
          <w:sz w:val="20"/>
          <w:szCs w:val="20"/>
          <w:lang w:eastAsia="en-US"/>
        </w:rPr>
        <w:t xml:space="preserve"> </w:t>
      </w:r>
      <w:r w:rsidRPr="00C52AEF">
        <w:rPr>
          <w:rFonts w:eastAsia="Calibri"/>
          <w:sz w:val="20"/>
          <w:szCs w:val="20"/>
          <w:lang w:eastAsia="en-US"/>
        </w:rPr>
        <w:t>b,</w:t>
      </w:r>
      <w:r>
        <w:rPr>
          <w:rFonts w:eastAsia="Calibri"/>
          <w:sz w:val="20"/>
          <w:szCs w:val="20"/>
          <w:lang w:eastAsia="en-US"/>
        </w:rPr>
        <w:t xml:space="preserve"> </w:t>
      </w:r>
      <w:r w:rsidRPr="00C52AEF">
        <w:rPr>
          <w:rFonts w:eastAsia="Calibri"/>
          <w:sz w:val="20"/>
          <w:szCs w:val="20"/>
          <w:lang w:eastAsia="en-US"/>
        </w:rPr>
        <w:t>c) indicate significant differences, ns = no differences</w:t>
      </w:r>
    </w:p>
    <w:p w14:paraId="1B45F365" w14:textId="77777777" w:rsidR="00C52AEF" w:rsidRPr="00C52AEF" w:rsidRDefault="00C52AEF" w:rsidP="00C52AEF">
      <w:pPr>
        <w:jc w:val="both"/>
        <w:rPr>
          <w:rFonts w:eastAsia="Calibri"/>
          <w:lang w:eastAsia="en-US"/>
        </w:rPr>
      </w:pPr>
    </w:p>
    <w:p w14:paraId="65973524" w14:textId="77777777" w:rsidR="00C52AEF" w:rsidRPr="00C52AEF" w:rsidRDefault="00C52AEF" w:rsidP="00C52AEF">
      <w:pPr>
        <w:ind w:firstLine="567"/>
        <w:jc w:val="both"/>
        <w:rPr>
          <w:rFonts w:eastAsia="Calibri"/>
          <w:lang w:eastAsia="en-US"/>
        </w:rPr>
      </w:pPr>
      <w:r w:rsidRPr="00C52AEF">
        <w:rPr>
          <w:rFonts w:eastAsia="Calibri"/>
          <w:lang w:eastAsia="en-US"/>
        </w:rPr>
        <w:t>The results of the homogeneity test of AST and ALT levels have homogeneous variations, α=0.625 (α&gt;0.05). Furthermore, the normality test showed that the data was normally distributed (α&gt;0.05). The ANOVA test obtained data with α&lt;0.05, which showed that green tea extract had a significant effect on AST levels. Table 2 shows that group K was significantly different from groups K+ and T1. In group T1, it was significantly different from all groups. Groups T2 and T3 showed significant differences from group K+. This can be interpreted as green tea extract can reduce AST levels.</w:t>
      </w:r>
    </w:p>
    <w:p w14:paraId="74DEA2E8" w14:textId="77777777" w:rsidR="00C52AEF" w:rsidRPr="00C52AEF" w:rsidRDefault="00C52AEF" w:rsidP="00C52AEF">
      <w:pPr>
        <w:ind w:firstLine="567"/>
        <w:jc w:val="both"/>
        <w:rPr>
          <w:rFonts w:eastAsia="Calibri"/>
          <w:lang w:eastAsia="en-US"/>
        </w:rPr>
      </w:pPr>
      <w:r w:rsidRPr="00C52AEF">
        <w:rPr>
          <w:rFonts w:eastAsia="Calibri"/>
          <w:lang w:eastAsia="en-US"/>
        </w:rPr>
        <w:t xml:space="preserve">The results of the ALT level analysis showed that the data </w:t>
      </w:r>
      <w:proofErr w:type="gramStart"/>
      <w:r w:rsidRPr="00C52AEF">
        <w:rPr>
          <w:rFonts w:eastAsia="Calibri"/>
          <w:lang w:eastAsia="en-US"/>
        </w:rPr>
        <w:t>were</w:t>
      </w:r>
      <w:proofErr w:type="gramEnd"/>
      <w:r w:rsidRPr="00C52AEF">
        <w:rPr>
          <w:rFonts w:eastAsia="Calibri"/>
          <w:lang w:eastAsia="en-US"/>
        </w:rPr>
        <w:t xml:space="preserve"> homogeneous and normally distributed with α&gt;0.05. The ANOVA test to determine the effect of green tea extract obtained data, α&gt;0.05. This shows that the paracetamol dosage did not result in a significant enough baseline increase for GTE's protective effects to be statistically detected.</w:t>
      </w:r>
    </w:p>
    <w:p w14:paraId="1C1C8FA6" w14:textId="145A10BB" w:rsidR="00C52AEF" w:rsidRDefault="00C52AEF" w:rsidP="00C52AEF">
      <w:pPr>
        <w:ind w:firstLine="567"/>
        <w:jc w:val="both"/>
        <w:rPr>
          <w:rFonts w:eastAsia="Calibri"/>
          <w:lang w:eastAsia="en-US"/>
        </w:rPr>
      </w:pPr>
      <w:r w:rsidRPr="00C52AEF">
        <w:rPr>
          <w:rFonts w:eastAsia="Calibri"/>
          <w:lang w:eastAsia="en-US"/>
        </w:rPr>
        <w:t xml:space="preserve">The total cholesterol’s homogeneity test exhibited homogeneous variations, α=0.676 (α&gt;0.05). Furthermore, the normality test showed that the data were normally distributed (α&gt;0.05). </w:t>
      </w:r>
      <w:r>
        <w:rPr>
          <w:rFonts w:eastAsia="Calibri"/>
          <w:lang w:eastAsia="en-US"/>
        </w:rPr>
        <w:t>T</w:t>
      </w:r>
      <w:r w:rsidRPr="00C52AEF">
        <w:rPr>
          <w:rFonts w:eastAsia="Calibri"/>
          <w:lang w:eastAsia="en-US"/>
        </w:rPr>
        <w:t xml:space="preserve">he ANOVA test obtained data α=0,077 (α&gt;0.05), which illustrated </w:t>
      </w:r>
      <w:r w:rsidRPr="00C52AEF">
        <w:rPr>
          <w:rFonts w:eastAsia="Calibri"/>
          <w:lang w:eastAsia="en-US"/>
        </w:rPr>
        <w:lastRenderedPageBreak/>
        <w:t>that cholesterol did not differ significantly between the control and treatment groups. Cholesterol levels were still within the normal range of 55-89 mg/dl.</w:t>
      </w:r>
    </w:p>
    <w:p w14:paraId="081DA776" w14:textId="77777777" w:rsidR="00C52AEF" w:rsidRPr="00C52AEF" w:rsidRDefault="00C52AEF" w:rsidP="00C52AEF">
      <w:pPr>
        <w:jc w:val="both"/>
        <w:rPr>
          <w:rFonts w:eastAsia="Calibri"/>
          <w:lang w:eastAsia="en-US"/>
        </w:rPr>
      </w:pPr>
    </w:p>
    <w:p w14:paraId="0EBFA667" w14:textId="77777777" w:rsidR="00C52AEF" w:rsidRPr="00C52AEF" w:rsidRDefault="00C52AEF" w:rsidP="00C52AEF">
      <w:pPr>
        <w:jc w:val="both"/>
        <w:rPr>
          <w:rFonts w:eastAsia="Calibri"/>
          <w:sz w:val="20"/>
          <w:szCs w:val="20"/>
          <w:lang w:eastAsia="en-US"/>
        </w:rPr>
      </w:pPr>
      <w:r w:rsidRPr="00C52AEF">
        <w:rPr>
          <w:rFonts w:eastAsia="Calibri"/>
          <w:b/>
          <w:bCs/>
          <w:sz w:val="20"/>
          <w:szCs w:val="20"/>
          <w:lang w:eastAsia="en-US"/>
        </w:rPr>
        <w:t>Table 3.</w:t>
      </w:r>
      <w:r w:rsidRPr="00C52AEF">
        <w:rPr>
          <w:rFonts w:eastAsia="Calibri"/>
          <w:sz w:val="20"/>
          <w:szCs w:val="20"/>
          <w:lang w:eastAsia="en-US"/>
        </w:rPr>
        <w:t xml:space="preserve"> </w:t>
      </w:r>
      <w:r w:rsidRPr="00C52AEF">
        <w:rPr>
          <w:sz w:val="20"/>
          <w:szCs w:val="20"/>
        </w:rPr>
        <w:t>Mean and Standard Deviation of Lipid Profiles in All Groups</w:t>
      </w:r>
    </w:p>
    <w:tbl>
      <w:tblPr>
        <w:tblStyle w:val="TableGrid"/>
        <w:tblW w:w="8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gridCol w:w="2693"/>
      </w:tblGrid>
      <w:tr w:rsidR="00C52AEF" w:rsidRPr="00C52AEF" w14:paraId="240ED5B3" w14:textId="77777777" w:rsidTr="00C52AEF">
        <w:trPr>
          <w:trHeight w:val="539"/>
          <w:tblHeader/>
        </w:trPr>
        <w:tc>
          <w:tcPr>
            <w:tcW w:w="2552" w:type="dxa"/>
            <w:tcBorders>
              <w:top w:val="single" w:sz="4" w:space="0" w:color="auto"/>
              <w:bottom w:val="single" w:sz="4" w:space="0" w:color="auto"/>
            </w:tcBorders>
            <w:vAlign w:val="center"/>
          </w:tcPr>
          <w:p w14:paraId="695F81C0" w14:textId="77777777" w:rsidR="00C52AEF" w:rsidRPr="00C52AEF" w:rsidRDefault="00C52AEF" w:rsidP="00C52AEF">
            <w:pPr>
              <w:suppressAutoHyphens w:val="0"/>
              <w:spacing w:line="276" w:lineRule="auto"/>
              <w:ind w:hanging="2"/>
              <w:jc w:val="center"/>
              <w:rPr>
                <w:rFonts w:eastAsia="SimSun"/>
                <w:b/>
                <w:bCs/>
                <w:spacing w:val="-1"/>
                <w:lang w:val="id-ID" w:eastAsia="en-US"/>
              </w:rPr>
            </w:pPr>
            <w:r w:rsidRPr="00C52AEF">
              <w:rPr>
                <w:rFonts w:eastAsia="SimSun"/>
                <w:b/>
                <w:bCs/>
                <w:spacing w:val="-1"/>
                <w:lang w:val="id-ID" w:eastAsia="en-US"/>
              </w:rPr>
              <w:t>Groups</w:t>
            </w:r>
          </w:p>
        </w:tc>
        <w:tc>
          <w:tcPr>
            <w:tcW w:w="3260" w:type="dxa"/>
            <w:tcBorders>
              <w:top w:val="single" w:sz="4" w:space="0" w:color="auto"/>
              <w:bottom w:val="single" w:sz="4" w:space="0" w:color="auto"/>
            </w:tcBorders>
            <w:vAlign w:val="center"/>
          </w:tcPr>
          <w:p w14:paraId="100195C5" w14:textId="77777777" w:rsidR="00C52AEF" w:rsidRPr="00C52AEF" w:rsidRDefault="00C52AEF" w:rsidP="00C52AEF">
            <w:pPr>
              <w:suppressAutoHyphens w:val="0"/>
              <w:spacing w:line="276" w:lineRule="auto"/>
              <w:ind w:hanging="2"/>
              <w:jc w:val="center"/>
              <w:rPr>
                <w:rFonts w:eastAsia="SimSun"/>
                <w:b/>
                <w:bCs/>
                <w:spacing w:val="-1"/>
                <w:vertAlign w:val="superscript"/>
                <w:lang w:val="id-ID" w:eastAsia="en-US"/>
              </w:rPr>
            </w:pPr>
            <w:r w:rsidRPr="00C52AEF">
              <w:rPr>
                <w:rFonts w:eastAsia="SimSun"/>
                <w:b/>
                <w:bCs/>
                <w:spacing w:val="-1"/>
                <w:lang w:val="id-ID" w:eastAsia="en-US"/>
              </w:rPr>
              <w:t>Total Cholesterol (mg/dl)</w:t>
            </w:r>
            <w:r w:rsidRPr="00C52AEF">
              <w:rPr>
                <w:rFonts w:eastAsia="SimSun"/>
                <w:b/>
                <w:bCs/>
                <w:spacing w:val="-1"/>
                <w:vertAlign w:val="superscript"/>
                <w:lang w:val="id-ID" w:eastAsia="en-US"/>
              </w:rPr>
              <w:t>ns</w:t>
            </w:r>
          </w:p>
        </w:tc>
        <w:tc>
          <w:tcPr>
            <w:tcW w:w="2693" w:type="dxa"/>
            <w:tcBorders>
              <w:top w:val="single" w:sz="4" w:space="0" w:color="auto"/>
              <w:bottom w:val="single" w:sz="4" w:space="0" w:color="auto"/>
            </w:tcBorders>
            <w:vAlign w:val="center"/>
          </w:tcPr>
          <w:p w14:paraId="27DB5313" w14:textId="77777777" w:rsidR="00C52AEF" w:rsidRPr="00C52AEF" w:rsidRDefault="00C52AEF" w:rsidP="00C52AEF">
            <w:pPr>
              <w:suppressAutoHyphens w:val="0"/>
              <w:spacing w:line="276" w:lineRule="auto"/>
              <w:ind w:hanging="2"/>
              <w:jc w:val="center"/>
              <w:rPr>
                <w:rFonts w:eastAsia="SimSun"/>
                <w:b/>
                <w:bCs/>
                <w:spacing w:val="-1"/>
                <w:vertAlign w:val="superscript"/>
                <w:lang w:val="id-ID" w:eastAsia="en-US"/>
              </w:rPr>
            </w:pPr>
            <w:r w:rsidRPr="00C52AEF">
              <w:rPr>
                <w:rFonts w:eastAsia="SimSun"/>
                <w:b/>
                <w:bCs/>
                <w:spacing w:val="-1"/>
                <w:lang w:val="id-ID" w:eastAsia="en-US"/>
              </w:rPr>
              <w:t>Triglyseride (mg/dl)</w:t>
            </w:r>
            <w:r w:rsidRPr="00C52AEF">
              <w:rPr>
                <w:rFonts w:eastAsia="SimSun"/>
                <w:b/>
                <w:bCs/>
                <w:spacing w:val="-1"/>
                <w:vertAlign w:val="superscript"/>
                <w:lang w:val="id-ID" w:eastAsia="en-US"/>
              </w:rPr>
              <w:t>ns</w:t>
            </w:r>
          </w:p>
        </w:tc>
      </w:tr>
      <w:tr w:rsidR="00C52AEF" w:rsidRPr="00C52AEF" w14:paraId="348F8BD6" w14:textId="77777777" w:rsidTr="00C52AEF">
        <w:tc>
          <w:tcPr>
            <w:tcW w:w="2552" w:type="dxa"/>
            <w:tcBorders>
              <w:top w:val="single" w:sz="4" w:space="0" w:color="auto"/>
            </w:tcBorders>
          </w:tcPr>
          <w:p w14:paraId="6828E6AD"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K</w:t>
            </w:r>
          </w:p>
        </w:tc>
        <w:tc>
          <w:tcPr>
            <w:tcW w:w="3260" w:type="dxa"/>
            <w:tcBorders>
              <w:top w:val="single" w:sz="4" w:space="0" w:color="auto"/>
            </w:tcBorders>
            <w:vAlign w:val="center"/>
          </w:tcPr>
          <w:p w14:paraId="042672F6"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74.16 ± 12.06</w:t>
            </w:r>
          </w:p>
        </w:tc>
        <w:tc>
          <w:tcPr>
            <w:tcW w:w="2693" w:type="dxa"/>
            <w:vMerge w:val="restart"/>
            <w:tcBorders>
              <w:top w:val="single" w:sz="4" w:space="0" w:color="auto"/>
              <w:right w:val="nil"/>
            </w:tcBorders>
            <w:vAlign w:val="center"/>
          </w:tcPr>
          <w:p w14:paraId="5215015C"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85.00 ± 48.02</w:t>
            </w:r>
          </w:p>
          <w:p w14:paraId="0AE216E5"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87.90 ± 21.56</w:t>
            </w:r>
          </w:p>
          <w:p w14:paraId="1E94F4F5"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64.03 ± 22.20</w:t>
            </w:r>
          </w:p>
          <w:p w14:paraId="53862375"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64.06 ± 23.801</w:t>
            </w:r>
          </w:p>
          <w:p w14:paraId="5C0B3225"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57.50 ± 16.41</w:t>
            </w:r>
          </w:p>
        </w:tc>
      </w:tr>
      <w:tr w:rsidR="00C52AEF" w:rsidRPr="00C52AEF" w14:paraId="6847A482" w14:textId="77777777" w:rsidTr="00C52AEF">
        <w:tc>
          <w:tcPr>
            <w:tcW w:w="2552" w:type="dxa"/>
          </w:tcPr>
          <w:p w14:paraId="01F454C8"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K+</w:t>
            </w:r>
          </w:p>
        </w:tc>
        <w:tc>
          <w:tcPr>
            <w:tcW w:w="3260" w:type="dxa"/>
            <w:vAlign w:val="center"/>
          </w:tcPr>
          <w:p w14:paraId="15652D70"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66.70 ± 12.06</w:t>
            </w:r>
          </w:p>
        </w:tc>
        <w:tc>
          <w:tcPr>
            <w:tcW w:w="2693" w:type="dxa"/>
            <w:vMerge/>
            <w:tcBorders>
              <w:right w:val="nil"/>
            </w:tcBorders>
            <w:vAlign w:val="center"/>
          </w:tcPr>
          <w:p w14:paraId="658CDEAE"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37719C4A" w14:textId="77777777" w:rsidTr="00C52AEF">
        <w:tc>
          <w:tcPr>
            <w:tcW w:w="2552" w:type="dxa"/>
          </w:tcPr>
          <w:p w14:paraId="1F7EED44"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1</w:t>
            </w:r>
          </w:p>
        </w:tc>
        <w:tc>
          <w:tcPr>
            <w:tcW w:w="3260" w:type="dxa"/>
            <w:vAlign w:val="center"/>
          </w:tcPr>
          <w:p w14:paraId="6360FB9B"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53.16 ± 17.80</w:t>
            </w:r>
          </w:p>
        </w:tc>
        <w:tc>
          <w:tcPr>
            <w:tcW w:w="2693" w:type="dxa"/>
            <w:vMerge/>
            <w:tcBorders>
              <w:right w:val="nil"/>
            </w:tcBorders>
            <w:vAlign w:val="center"/>
          </w:tcPr>
          <w:p w14:paraId="1AA1421A"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46335E7E" w14:textId="77777777" w:rsidTr="00C52AEF">
        <w:tc>
          <w:tcPr>
            <w:tcW w:w="2552" w:type="dxa"/>
          </w:tcPr>
          <w:p w14:paraId="1C85893E"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2</w:t>
            </w:r>
          </w:p>
        </w:tc>
        <w:tc>
          <w:tcPr>
            <w:tcW w:w="3260" w:type="dxa"/>
            <w:vAlign w:val="center"/>
          </w:tcPr>
          <w:p w14:paraId="49EED881"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76.78 ± 19.77</w:t>
            </w:r>
          </w:p>
        </w:tc>
        <w:tc>
          <w:tcPr>
            <w:tcW w:w="2693" w:type="dxa"/>
            <w:vMerge/>
            <w:tcBorders>
              <w:right w:val="nil"/>
            </w:tcBorders>
            <w:vAlign w:val="center"/>
          </w:tcPr>
          <w:p w14:paraId="6AF4A38E" w14:textId="77777777" w:rsidR="00C52AEF" w:rsidRPr="00C52AEF" w:rsidRDefault="00C52AEF" w:rsidP="00C52AEF">
            <w:pPr>
              <w:suppressAutoHyphens w:val="0"/>
              <w:spacing w:line="276" w:lineRule="auto"/>
              <w:ind w:hanging="2"/>
              <w:jc w:val="center"/>
              <w:rPr>
                <w:rFonts w:eastAsia="SimSun"/>
                <w:spacing w:val="-1"/>
                <w:lang w:eastAsia="en-US"/>
              </w:rPr>
            </w:pPr>
          </w:p>
        </w:tc>
      </w:tr>
      <w:tr w:rsidR="00C52AEF" w:rsidRPr="00C52AEF" w14:paraId="2DD77F94" w14:textId="77777777" w:rsidTr="00C52AEF">
        <w:tc>
          <w:tcPr>
            <w:tcW w:w="2552" w:type="dxa"/>
          </w:tcPr>
          <w:p w14:paraId="3BBCF4CB"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val="id-ID" w:eastAsia="en-US"/>
              </w:rPr>
              <w:t>T</w:t>
            </w:r>
            <w:r w:rsidRPr="00C52AEF">
              <w:rPr>
                <w:rFonts w:eastAsia="SimSun"/>
                <w:spacing w:val="-1"/>
                <w:lang w:eastAsia="en-US"/>
              </w:rPr>
              <w:t>3</w:t>
            </w:r>
          </w:p>
        </w:tc>
        <w:tc>
          <w:tcPr>
            <w:tcW w:w="3260" w:type="dxa"/>
            <w:vAlign w:val="center"/>
          </w:tcPr>
          <w:p w14:paraId="5B07F499" w14:textId="77777777" w:rsidR="00C52AEF" w:rsidRPr="00C52AEF" w:rsidRDefault="00C52AEF" w:rsidP="00C52AEF">
            <w:pPr>
              <w:suppressAutoHyphens w:val="0"/>
              <w:spacing w:line="276" w:lineRule="auto"/>
              <w:ind w:hanging="2"/>
              <w:jc w:val="center"/>
              <w:rPr>
                <w:rFonts w:eastAsia="SimSun"/>
                <w:spacing w:val="-1"/>
                <w:lang w:eastAsia="en-US"/>
              </w:rPr>
            </w:pPr>
            <w:r w:rsidRPr="00C52AEF">
              <w:rPr>
                <w:rFonts w:eastAsia="SimSun"/>
                <w:spacing w:val="-1"/>
                <w:lang w:eastAsia="en-US"/>
              </w:rPr>
              <w:t>56.48 ± 10.21</w:t>
            </w:r>
          </w:p>
        </w:tc>
        <w:tc>
          <w:tcPr>
            <w:tcW w:w="2693" w:type="dxa"/>
            <w:vMerge/>
            <w:tcBorders>
              <w:right w:val="nil"/>
            </w:tcBorders>
            <w:vAlign w:val="center"/>
          </w:tcPr>
          <w:p w14:paraId="5B3F7E27" w14:textId="77777777" w:rsidR="00C52AEF" w:rsidRPr="00C52AEF" w:rsidRDefault="00C52AEF" w:rsidP="00C52AEF">
            <w:pPr>
              <w:suppressAutoHyphens w:val="0"/>
              <w:spacing w:line="276" w:lineRule="auto"/>
              <w:ind w:hanging="2"/>
              <w:jc w:val="center"/>
              <w:rPr>
                <w:rFonts w:eastAsia="SimSun"/>
                <w:spacing w:val="-1"/>
                <w:lang w:eastAsia="en-US"/>
              </w:rPr>
            </w:pPr>
          </w:p>
        </w:tc>
      </w:tr>
    </w:tbl>
    <w:p w14:paraId="3F460956" w14:textId="77777777" w:rsidR="00C52AEF" w:rsidRPr="00C52AEF" w:rsidRDefault="00C52AEF" w:rsidP="00C52AEF">
      <w:pPr>
        <w:spacing w:line="276" w:lineRule="auto"/>
        <w:rPr>
          <w:rFonts w:eastAsia="Calibri"/>
          <w:sz w:val="20"/>
          <w:szCs w:val="20"/>
          <w:lang w:eastAsia="en-US"/>
        </w:rPr>
      </w:pPr>
      <w:r w:rsidRPr="00C52AEF">
        <w:rPr>
          <w:rFonts w:eastAsia="Calibri"/>
          <w:sz w:val="20"/>
          <w:szCs w:val="20"/>
          <w:lang w:eastAsia="en-US"/>
        </w:rPr>
        <w:t xml:space="preserve">Note: </w:t>
      </w:r>
      <w:proofErr w:type="gramStart"/>
      <w:r w:rsidRPr="00C52AEF">
        <w:rPr>
          <w:rFonts w:eastAsia="Calibri"/>
          <w:sz w:val="20"/>
          <w:szCs w:val="20"/>
          <w:lang w:eastAsia="en-US"/>
        </w:rPr>
        <w:t>ns</w:t>
      </w:r>
      <w:proofErr w:type="gramEnd"/>
      <w:r w:rsidRPr="00C52AEF">
        <w:rPr>
          <w:rFonts w:eastAsia="Calibri"/>
          <w:sz w:val="20"/>
          <w:szCs w:val="20"/>
          <w:lang w:eastAsia="en-US"/>
        </w:rPr>
        <w:t xml:space="preserve"> = no difference</w:t>
      </w:r>
    </w:p>
    <w:p w14:paraId="7CE10766" w14:textId="77777777" w:rsidR="00C52AEF" w:rsidRPr="00C52AEF" w:rsidRDefault="00C52AEF" w:rsidP="00C52AEF">
      <w:pPr>
        <w:jc w:val="both"/>
        <w:rPr>
          <w:rFonts w:eastAsia="Calibri"/>
          <w:lang w:eastAsia="en-US"/>
        </w:rPr>
      </w:pPr>
    </w:p>
    <w:p w14:paraId="0D3B0EAD" w14:textId="77777777" w:rsidR="00C52AEF" w:rsidRPr="00C52AEF" w:rsidRDefault="00C52AEF" w:rsidP="00C52AEF">
      <w:pPr>
        <w:ind w:firstLine="567"/>
        <w:jc w:val="both"/>
        <w:rPr>
          <w:rFonts w:eastAsia="Calibri"/>
          <w:highlight w:val="red"/>
          <w:lang w:eastAsia="en-US"/>
        </w:rPr>
      </w:pPr>
      <w:r w:rsidRPr="00C52AEF">
        <w:rPr>
          <w:rFonts w:eastAsia="Calibri"/>
          <w:lang w:eastAsia="en-US"/>
        </w:rPr>
        <w:t xml:space="preserve">As for triglyceride testing, the data </w:t>
      </w:r>
      <w:proofErr w:type="gramStart"/>
      <w:r w:rsidRPr="00C52AEF">
        <w:rPr>
          <w:rFonts w:eastAsia="Calibri"/>
          <w:lang w:eastAsia="en-US"/>
        </w:rPr>
        <w:t>were</w:t>
      </w:r>
      <w:proofErr w:type="gramEnd"/>
      <w:r w:rsidRPr="00C52AEF">
        <w:rPr>
          <w:rFonts w:eastAsia="Calibri"/>
          <w:lang w:eastAsia="en-US"/>
        </w:rPr>
        <w:t xml:space="preserve"> homogenous and normally distributed with α=0.130 (α&gt;0.05). The ANOVA statistical test presented that α=0.360 (α&gt;0.05). Similar with cholesterol data, TG levels were in the range of 57.5 - 85.0 mg/dL, which according to Quesenberry et al. </w:t>
      </w:r>
      <w:r w:rsidRPr="00C52AEF">
        <w:rPr>
          <w:rFonts w:eastAsia="Calibri"/>
          <w:lang w:eastAsia="en-US"/>
        </w:rPr>
        <w:fldChar w:fldCharType="begin" w:fldLock="1"/>
      </w:r>
      <w:r w:rsidRPr="00C52AEF">
        <w:rPr>
          <w:rFonts w:eastAsia="Calibri"/>
          <w:lang w:eastAsia="en-US"/>
        </w:rPr>
        <w:instrText>ADDIN CSL_CITATION {"citationItems":[{"id":"ITEM-1","itemData":{"ISBN":"9780323484350","author":[{"dropping-particle":"","family":"Miwa","given":"Yasutsugu","non-dropping-particle":"","parse-names":false,"suffix":""},{"dropping-particle":"","family":"Mayer","given":"Joerg","non-dropping-particle":"","parse-names":false,"suffix":""}],"container-title":"Ferrets, Rabbits, and Rodents - Clinical Medicine and Surgery","id":"ITEM-1","issued":{"date-parts":[["2021"]]},"number-of-pages":"368-384","title":"Hamster and Gerbils","type":"book"},"suppress-author":1,"uris":["http://www.mendeley.com/documents/?uuid=d0d6aeb1-4bfa-471d-b2ca-1d1c356b14d5"]}],"mendeley":{"formattedCitation":"(2021)","plainTextFormattedCitation":"(2021)","previouslyFormattedCitation":"(2021)"},"properties":{"noteIndex":0},"schema":"https://github.com/citation-style-language/schema/raw/master/csl-citation.json"}</w:instrText>
      </w:r>
      <w:r w:rsidRPr="00C52AEF">
        <w:rPr>
          <w:rFonts w:eastAsia="Calibri"/>
          <w:lang w:eastAsia="en-US"/>
        </w:rPr>
        <w:fldChar w:fldCharType="separate"/>
      </w:r>
      <w:r w:rsidRPr="00C52AEF">
        <w:rPr>
          <w:rFonts w:eastAsia="Calibri"/>
          <w:noProof/>
          <w:lang w:eastAsia="en-US"/>
        </w:rPr>
        <w:t>(2021)</w:t>
      </w:r>
      <w:r w:rsidRPr="00C52AEF">
        <w:rPr>
          <w:rFonts w:eastAsia="Calibri"/>
          <w:lang w:eastAsia="en-US"/>
        </w:rPr>
        <w:fldChar w:fldCharType="end"/>
      </w:r>
      <w:r w:rsidRPr="00C52AEF">
        <w:rPr>
          <w:rFonts w:eastAsia="Calibri"/>
          <w:lang w:eastAsia="en-US"/>
        </w:rPr>
        <w:t>, the normal triglyceride range of 62 - 92 mg/dL.</w:t>
      </w:r>
    </w:p>
    <w:p w14:paraId="4C005336" w14:textId="77777777" w:rsidR="00D57E6B" w:rsidRPr="0053016A" w:rsidRDefault="00D57E6B" w:rsidP="00BA1288">
      <w:pPr>
        <w:suppressAutoHyphens w:val="0"/>
        <w:autoSpaceDE w:val="0"/>
        <w:autoSpaceDN w:val="0"/>
        <w:adjustRightInd w:val="0"/>
        <w:ind w:firstLine="567"/>
        <w:jc w:val="both"/>
        <w:rPr>
          <w:rFonts w:eastAsia="Calibri"/>
          <w:lang w:val="id"/>
        </w:rPr>
      </w:pPr>
    </w:p>
    <w:p w14:paraId="64077E88" w14:textId="77777777" w:rsidR="0031743A" w:rsidRPr="0053016A" w:rsidRDefault="0031743A" w:rsidP="0031743A">
      <w:pPr>
        <w:suppressAutoHyphens w:val="0"/>
        <w:rPr>
          <w:b/>
          <w:bCs/>
        </w:rPr>
      </w:pPr>
      <w:r w:rsidRPr="0053016A">
        <w:rPr>
          <w:b/>
          <w:bCs/>
        </w:rPr>
        <w:t>DISCUSSION</w:t>
      </w:r>
    </w:p>
    <w:p w14:paraId="32D5A3BC" w14:textId="77777777" w:rsidR="00C128B2" w:rsidRDefault="00C128B2" w:rsidP="00C128B2">
      <w:pPr>
        <w:suppressAutoHyphens w:val="0"/>
        <w:autoSpaceDE w:val="0"/>
        <w:autoSpaceDN w:val="0"/>
        <w:adjustRightInd w:val="0"/>
        <w:ind w:firstLine="567"/>
        <w:jc w:val="both"/>
        <w:rPr>
          <w:rFonts w:eastAsia="Calibri"/>
          <w:lang w:eastAsia="en-US"/>
        </w:rPr>
      </w:pPr>
      <w:r w:rsidRPr="00BE7F48">
        <w:rPr>
          <w:rFonts w:eastAsia="Calibri"/>
          <w:lang w:eastAsia="en-US"/>
        </w:rPr>
        <w:t>Paracetamol as a trigger for hepatotoxicity occurs due to the formation of a reactive metabolite called N-acetyl-p-benzoquinone imine (NAPQI). Normally</w:t>
      </w:r>
      <w:r>
        <w:rPr>
          <w:rFonts w:eastAsia="Calibri"/>
          <w:lang w:eastAsia="en-US"/>
        </w:rPr>
        <w:t>,</w:t>
      </w:r>
      <w:r w:rsidRPr="00BE7F48">
        <w:rPr>
          <w:rFonts w:eastAsia="Calibri"/>
          <w:lang w:eastAsia="en-US"/>
        </w:rPr>
        <w:t xml:space="preserve"> NAPQI is detoxified into harmless metabolites by glutathione S-transferase into mercapturic acid and excreted in the urine. However, glutathione will decrease after excessive use of paracetamol</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{"citationItems":[{"id":"ITEM-1","itemData":{"DOI":"10.3389/fphar.2020.580289","ISSN":"16639812","abstract":"Acetaminophen is one of the most commonly used analgesic agents for treating acute and chronic pain. However, its metabolism is complex, and its analgesic mechanisms have not been completely understood. Previously, it was believed that acetaminophen induces analgesia by inhibiting cyclooxygenase enzymes; however, it has been considered recently that the main analgesic mechanism of acetaminophen is its metabolization to N-acylphenolamine (AM404), which then acts on the transient receptor potential vanilloid 1 (TRPV1) and cannabinoid 1 receptors in the brain. We also recently revealed that the acetaminophen metabolite AM404 directly induces analgesia via TRPV1 receptors on terminals of C-fibers in the spinal dorsal horn. It is known that, similar to the brain, the spinal dorsal horn is critical to pain pathways and modulates nociceptive transmission. Therefore, acetaminophen induces analgesia by acting not only on the brain but also the spinal cord. In addition, acetaminophen is not considered to possess any anti-inflammatory activity because of its weak inhibition of cyclooxygenase (COX). However, we also revealed that AM404 induces analgesia via TRPV1 receptors on the spinal dorsal horn in an inflammatory pain rat model, and these analgesic effects were stronger in the model than in naïve rats. The purpose of this review was to summarize the previous and new issues related to the analgesic mechanisms of acetaminophen. We believe that it will allow clinicians to consider new pain management techniques involving acetaminophen.","author":[{"dropping-particle":"","family":"Ohashi","given":"Nobuko","non-dropping-particle":"","parse-names":false,"suffix":""},{"dropping-particle":"","family":"Kohno","given":"Tatsuro","non-dropping-particle":"","parse-names":false,"suffix":""}],"container-title":"Frontiers in Pharmacology","id":"ITEM-1","issue":"November","issued":{"date-parts":[["2020"]]},"page":"1-6","title":"Analgesic Effect of Acetaminophen: A Review of Known and Novel Mechanisms of Action","type":"article-journal","volume":"11"},"uris":["http://www.mendeley.com/documents/?uuid=3fc69d02-2162-4213-a1d8-9539760a7818"]},{"id":"ITEM-2","itemData":{"DOI":"10.3389/fphar.2020.579944","ISSN":"16639812","abstract":"COVID-19 pandemic is posing an unprecedented sanitary threat: antiviral and host-directed medications to treat the disease are urgently needed. A great effort has been paid to find drugs and treatments for hospitalized, severely ill patients. However, medications used for the domiciliary management of early symptoms, notwithstanding their importance, have not been and are not presently regarded with the same attention and seriousness. In analogy with other airways viral infections, COVID-19 patients in the early phase require specific antivirals (still lacking) and non-etiotropic drugs to lower pain, fever, and control inflammation. Non-steroidal anti-inflammatory drugs (NSAIDs) and paracetamol (PAC) are widely used as non-etiotropic agents in common airways viral infections and hence are both theoretically repurposable for COVID-19. However, a warning from some research reports and National Authorities raised NSAIDs safety concerns because of the supposed induction of angiotensin-converting enzyme 2 (ACE2) levels (the receptor used by SARS-CoV2 to enter host airways cells), the increased risk of bacterial superinfections and masking of disease symptoms. As a consequence, the use of NSAIDs was, and is still, discouraged while the alternative adoption of paracetamol is still preferred. On the basis of novel data and hypothesis on the possible role of scarce glutathione (GSH) levels in the exacerbation of COVID-19 and of the GSH depleting activity of PAC, this commentary raises the question of whether PAC may be the better choice.","author":[{"dropping-particle":"","family":"Sestili","given":"Piero","non-dropping-particle":"","parse-names":false,"suffix":""},{"dropping-particle":"","family":"Fimognari","given":"Carmela","non-dropping-particle":"","parse-names":false,"suffix":""}],"container-title":"Frontiers in Pharmacology","id":"ITEM-2","issue":"October","issued":{"date-parts":[["2020"]]},"page":"1-7","title":"Paracetamol-Induced Glutathione Consumption: Is There a Link With Severe COVID-19 Illness?","type":"article-journal","volume":"11"},"uris":["http://www.mendeley.com/documents/?uuid=4b1bc5a7-c69d-4b00-9bc4-b64b40831f3d"]}],"mendeley":{"formattedCitation":"(Ohashi &amp; Kohno, 2020; Sestili &amp; Fimognari, 2020)","plainTextFormattedCitation":"(Ohashi &amp; Kohno, 2020; Sestili &amp; Fimognari, 2020)","previouslyFormattedCitation":"(Ohashi &amp; Kohno, 2020; Sestili &amp; Fimognari, 2020)"},"properties":{"noteIndex":0},"schema":"https://github.com/citation-style-language/schema/raw/master/csl-citation.json"}</w:instrText>
      </w:r>
      <w:r>
        <w:rPr>
          <w:rFonts w:eastAsia="Calibri"/>
          <w:lang w:eastAsia="en-US"/>
        </w:rPr>
        <w:fldChar w:fldCharType="separate"/>
      </w:r>
      <w:r w:rsidRPr="00907C23">
        <w:rPr>
          <w:rFonts w:eastAsia="Calibri"/>
          <w:noProof/>
          <w:lang w:eastAsia="en-US"/>
        </w:rPr>
        <w:t>(Ohashi &amp; Kohno, 2020; Sestili &amp; Fimognari, 2020)</w:t>
      </w:r>
      <w:r>
        <w:rPr>
          <w:rFonts w:eastAsia="Calibri"/>
          <w:lang w:eastAsia="en-US"/>
        </w:rPr>
        <w:fldChar w:fldCharType="end"/>
      </w:r>
      <w:r w:rsidRPr="00BE7F48">
        <w:rPr>
          <w:rFonts w:eastAsia="Calibri"/>
          <w:lang w:eastAsia="en-US"/>
        </w:rPr>
        <w:t>. This causes the concentration of NAPQI to increase</w:t>
      </w:r>
      <w:r>
        <w:rPr>
          <w:rFonts w:eastAsia="Calibri"/>
          <w:lang w:eastAsia="en-US"/>
        </w:rPr>
        <w:t>,</w:t>
      </w:r>
      <w:r w:rsidRPr="00BE7F48">
        <w:rPr>
          <w:rFonts w:eastAsia="Calibri"/>
          <w:lang w:eastAsia="en-US"/>
        </w:rPr>
        <w:t xml:space="preserve"> which produces reactive oxygen species (ROS) </w:t>
      </w:r>
      <w:r>
        <w:rPr>
          <w:rFonts w:eastAsia="Calibri"/>
          <w:lang w:eastAsia="en-US"/>
        </w:rPr>
        <w:fldChar w:fldCharType="begin" w:fldLock="1"/>
      </w:r>
      <w:r>
        <w:rPr>
          <w:rFonts w:eastAsia="Calibri"/>
          <w:lang w:eastAsia="en-US"/>
        </w:rPr>
        <w:instrText>ADDIN CSL_CITATION {"citationItems":[{"id":"ITEM-1","itemData":{"DOI":"10.1016/j.livres.2023.03.001","ISSN":"25425684","abstract":"In many affluent nations, acetaminophen (APAP) overdose is the leading cause of drug-induced acute liver failure. The process of APAP-induced liver injury (AILI) is intimately tied to inflammation, including hepatocyte necrosis-caused initiation of inflammation, inflammation amplification that exacerbates liver injury, and the resolution of inflammation that triggers liver regeneration and repair. Excessive APAP metabolism in the liver eventually leads to hepatocyte necrosis and inflammation. Innate immune cells, such as neutrophils, eosinophils, monocytes, and gammadelta T cells, are recruited into the injured liver and release various cytokines. These immune cells and cytokines have been found to serve two purposes in AILI. In this review, we highlighted the dual role of inflammation, including inflammatory cytokines and inflammatory immune cells in AILI, and discussed possible explanations for contradictory findings.","author":[{"dropping-particle":"","family":"Xu","given":"Long","non-dropping-particle":"","parse-names":false,"suffix":""},{"dropping-particle":"","family":"Wang","given":"Hua","non-dropping-particle":"","parse-names":false,"suffix":""}],"container-title":"Liver Research","id":"ITEM-1","issue":"1","issued":{"date-parts":[["2023"]]},"page":"9-15","publisher":"The Third Affiliated Hospital of Sun Yat-sen University","title":"A dual role of inflammation in acetaminophen-induced liver injury","type":"article-journal","volume":"7"},"uris":["http://www.mendeley.com/documents/?uuid=ae32c47a-55b0-4b8c-a834-86c299bcccc8"]}],"mendeley":{"formattedCitation":"(L. Xu &amp; Wang, 2023)","plainTextFormattedCitation":"(L. Xu &amp; Wang, 2023)","previouslyFormattedCitation":"(L. Xu &amp; Wang, 2023)"},"properties":{"noteIndex":0},"schema":"https://github.com/citation-style-language/schema/raw/master/csl-citation.json"}</w:instrText>
      </w:r>
      <w:r>
        <w:rPr>
          <w:rFonts w:eastAsia="Calibri"/>
          <w:lang w:eastAsia="en-US"/>
        </w:rPr>
        <w:fldChar w:fldCharType="separate"/>
      </w:r>
      <w:r w:rsidRPr="00806D76">
        <w:rPr>
          <w:rFonts w:eastAsia="Calibri"/>
          <w:noProof/>
          <w:lang w:eastAsia="en-US"/>
        </w:rPr>
        <w:t>(L. Xu &amp; Wang, 2023)</w:t>
      </w:r>
      <w:r>
        <w:rPr>
          <w:rFonts w:eastAsia="Calibri"/>
          <w:lang w:eastAsia="en-US"/>
        </w:rPr>
        <w:fldChar w:fldCharType="end"/>
      </w:r>
      <w:r>
        <w:rPr>
          <w:rFonts w:eastAsia="Calibri"/>
          <w:lang w:eastAsia="en-US"/>
        </w:rPr>
        <w:t>.</w:t>
      </w:r>
    </w:p>
    <w:p w14:paraId="48F720F6" w14:textId="77777777" w:rsidR="00C128B2" w:rsidRDefault="00C128B2" w:rsidP="00C128B2">
      <w:pPr>
        <w:suppressAutoHyphens w:val="0"/>
        <w:autoSpaceDE w:val="0"/>
        <w:autoSpaceDN w:val="0"/>
        <w:adjustRightInd w:val="0"/>
        <w:ind w:firstLine="567"/>
        <w:jc w:val="both"/>
        <w:rPr>
          <w:rFonts w:eastAsia="Calibri"/>
          <w:lang w:eastAsia="en-US"/>
        </w:rPr>
      </w:pPr>
      <w:r w:rsidRPr="00C917D1">
        <w:rPr>
          <w:rFonts w:eastAsia="Calibri"/>
          <w:lang w:eastAsia="en-US"/>
        </w:rPr>
        <w:t>The release of massive ROS causes mitochondrial dysfunction, which is the starting point for the degradation of liver cell membrane integrity</w:t>
      </w:r>
      <w:r>
        <w:rPr>
          <w:rFonts w:eastAsia="Calibri"/>
          <w:lang w:eastAsia="en-US"/>
        </w:rPr>
        <w:t xml:space="preserve">, </w:t>
      </w:r>
      <w:r w:rsidRPr="00BE7F48">
        <w:rPr>
          <w:rFonts w:eastAsia="Calibri"/>
          <w:lang w:eastAsia="en-US"/>
        </w:rPr>
        <w:t>so that inflammation, apoptosis, and necrosis occur</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{"citationItems":[{"id":"ITEM-1","itemData":{"DOI":"10.4254/wjh.v12.i4.125","ISSN":"19485182","abstract":"Drug induced liver injury (DILI) is a common cause of acute liver injury. Paracetamol, also known as acetaminophen, is a widely used anti-pyretic that has long been established to cause liver toxicity once above therapeutic levels. Hepatotoxicity from paracetamol overdose, whether intentional or nonintentional, is the most common cause of DILI in the United States and remains a global issue. Given the increased prevalence of combination medications in the form of pain relievers and antihistamines, paracetamol can be difficult to identify and remains a significant cause of acute hepatotoxicity, as evidenced by its contribution to over half of all acute liver failure cases in the United States. This is especially concerning given that, when co-ingested with other medications, the rise in serum paracetamol levels may be delayed past the 4-hour post-ingestion mark that is currently used to determine patients that require medical therapy. This review serves to describe the clinical and pathophysiologic features of hepatotoxicity secondary to paracetamol and provide an update on current available knowledge and treatment options.","author":[{"dropping-particle":"","family":"Rotundo","given":"Laura","non-dropping-particle":"","parse-names":false,"suffix":""},{"dropping-particle":"","family":"Pyrsopoulos","given":"Nikolaos","non-dropping-particle":"","parse-names":false,"suffix":""}],"container-title":"World Journal of Hepatology","id":"ITEM-1","issue":"4","issued":{"date-parts":[["2020"]]},"page":"125-136","title":"Liver injury induced by paracetamol and challenges associated with intentional and unintentional use","type":"article-journal","volume":"12"},"uris":["http://www.mendeley.com/documents/?uuid=82604e2a-132d-4c38-9574-a846f2b17f0f"]}],"mendeley":{"formattedCitation":"(Rotundo &amp; Pyrsopoulos, 2020)","plainTextFormattedCitation":"(Rotundo &amp; Pyrsopoulos, 2020)","previouslyFormattedCitation":"(Rotundo &amp; Pyrsopoulos, 2020)"},"properties":{"noteIndex":0},"schema":"https://github.com/citation-style-language/schema/raw/master/csl-citation.json"}</w:instrText>
      </w:r>
      <w:r>
        <w:rPr>
          <w:rFonts w:eastAsia="Calibri"/>
          <w:lang w:eastAsia="en-US"/>
        </w:rPr>
        <w:fldChar w:fldCharType="separate"/>
      </w:r>
      <w:r w:rsidRPr="00C917D1">
        <w:rPr>
          <w:rFonts w:eastAsia="Calibri"/>
          <w:noProof/>
          <w:lang w:eastAsia="en-US"/>
        </w:rPr>
        <w:t>(Rotundo &amp; Pyrsopoulos, 2020)</w:t>
      </w:r>
      <w:r>
        <w:rPr>
          <w:rFonts w:eastAsia="Calibri"/>
          <w:lang w:eastAsia="en-US"/>
        </w:rPr>
        <w:fldChar w:fldCharType="end"/>
      </w:r>
      <w:r>
        <w:rPr>
          <w:rFonts w:eastAsia="Calibri"/>
          <w:lang w:eastAsia="en-US"/>
        </w:rPr>
        <w:t xml:space="preserve">. </w:t>
      </w:r>
      <w:r w:rsidRPr="00C917D1">
        <w:rPr>
          <w:rFonts w:eastAsia="Calibri"/>
          <w:lang w:eastAsia="en-US"/>
        </w:rPr>
        <w:t xml:space="preserve">These </w:t>
      </w:r>
      <w:r>
        <w:rPr>
          <w:rFonts w:eastAsia="Calibri"/>
          <w:lang w:eastAsia="en-US"/>
        </w:rPr>
        <w:t xml:space="preserve">cell </w:t>
      </w:r>
      <w:r w:rsidRPr="00C917D1">
        <w:rPr>
          <w:rFonts w:eastAsia="Calibri"/>
          <w:lang w:eastAsia="en-US"/>
        </w:rPr>
        <w:t xml:space="preserve">membrane leaks directly correlate with the biochemical parameters AST and ALT. These enzymes, which are normally found in the cytoplasm and mitochondria of hepatocytes, are released into the bloodstream immediately after cell </w:t>
      </w:r>
      <w:r>
        <w:rPr>
          <w:rFonts w:eastAsia="Calibri"/>
          <w:lang w:eastAsia="en-US"/>
        </w:rPr>
        <w:t>damage</w:t>
      </w:r>
      <w:r w:rsidRPr="00C917D1">
        <w:rPr>
          <w:rFonts w:eastAsia="Calibri"/>
          <w:lang w:eastAsia="en-US"/>
        </w:rPr>
        <w:t xml:space="preserve"> occurs. The increase in AST and ALT levels in this study is an objective indicator of the severity of liver </w:t>
      </w:r>
      <w:r>
        <w:rPr>
          <w:rFonts w:eastAsia="Calibri"/>
          <w:lang w:eastAsia="en-US"/>
        </w:rPr>
        <w:t>injury</w:t>
      </w:r>
      <w:r w:rsidRPr="00C917D1">
        <w:rPr>
          <w:rFonts w:eastAsia="Calibri"/>
          <w:lang w:eastAsia="en-US"/>
        </w:rPr>
        <w:t xml:space="preserve"> by NAPQ</w:t>
      </w:r>
      <w:r>
        <w:rPr>
          <w:rFonts w:eastAsia="Calibri"/>
          <w:lang w:eastAsia="en-US"/>
        </w:rPr>
        <w:t>I.</w:t>
      </w:r>
    </w:p>
    <w:p w14:paraId="4BB86A03" w14:textId="77777777" w:rsidR="00C128B2" w:rsidRDefault="00C128B2" w:rsidP="00C128B2">
      <w:pPr>
        <w:suppressAutoHyphens w:val="0"/>
        <w:autoSpaceDE w:val="0"/>
        <w:autoSpaceDN w:val="0"/>
        <w:adjustRightInd w:val="0"/>
        <w:ind w:firstLine="567"/>
        <w:jc w:val="both"/>
        <w:rPr>
          <w:rFonts w:eastAsia="Calibri"/>
          <w:lang w:eastAsia="en-US"/>
        </w:rPr>
      </w:pPr>
      <w:r w:rsidRPr="00E17D7E">
        <w:rPr>
          <w:rFonts w:eastAsia="Calibri"/>
          <w:lang w:eastAsia="en-US"/>
        </w:rPr>
        <w:t>In the study, it was found that there was a significant increase in AST levels due to paracetamol induction. This indicates inflammation in hepatocytes</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{"citationItems":[{"id":"ITEM-1","itemData":{"DOI":"10.1016/j.ecoenv.2023.114590","ISSN":"10902414","PMID":"36738614","abstract":"To explore the action time and molecular mechanism underlying the effect of acetaminophen (APAP) on liver injury. APAP was used to establish drug-induced liver injury (DILI) model in mice. Mice in the model group were intraperitoneally injected 300 mg/kg APAP for 6, 12, and 24 h respectively, and control group mice were given the same volume of normal saline. The mice were anesthetized through intravenous injection of sodium pentobarbital at 6, 12, and 24 h after APAP poisoning. Analysis of ALT, AST and ALP in serum, liver histopathological observation, oxidative damage and western blot were performed. The livers in APAP exposed mice were pale, smaller, with a rough texture, and poorly arranged cells. Lesions, large areas of hyperemia, inflammation, swelling, poorly cell arrangement, necrosis, and apoptosis of liver cells were obvious in the liver tissue sections. Serum ALT, AST and ALP levels were significantly enhanced at 12 h of APAP adminstration mice than that of in control group mice (P</w:instrText>
      </w:r>
      <w:r>
        <w:rPr>
          <w:rFonts w:ascii="MS Gothic" w:eastAsia="MS Gothic" w:hAnsi="MS Gothic" w:cs="MS Gothic" w:hint="eastAsia"/>
          <w:lang w:eastAsia="en-US"/>
        </w:rPr>
        <w:instrText>＜</w:instrText>
      </w:r>
      <w:r>
        <w:rPr>
          <w:rFonts w:eastAsia="Calibri"/>
          <w:lang w:eastAsia="en-US"/>
        </w:rPr>
        <w:instrText>0.05). The histopathological alterations and proinflammatory cytokines (IL-1β, TNF-α and IL-6) levels were most severe at 12 h of APAP-induced hepatotoxicity. APAP treatment induced oxidative stress by decreasing hepatic activities of superoxide dismutase (SOD) and glutathione (GSH) (P</w:instrText>
      </w:r>
      <w:r>
        <w:rPr>
          <w:rFonts w:ascii="MS Gothic" w:eastAsia="MS Gothic" w:hAnsi="MS Gothic" w:cs="MS Gothic" w:hint="eastAsia"/>
          <w:lang w:eastAsia="en-US"/>
        </w:rPr>
        <w:instrText>＜</w:instrText>
      </w:r>
      <w:r>
        <w:rPr>
          <w:rFonts w:eastAsia="Calibri"/>
          <w:lang w:eastAsia="en-US"/>
        </w:rPr>
        <w:instrText>0.05), and enhancing malondialdehyde (MDA) content (P</w:instrText>
      </w:r>
      <w:r>
        <w:rPr>
          <w:rFonts w:ascii="MS Gothic" w:eastAsia="MS Gothic" w:hAnsi="MS Gothic" w:cs="MS Gothic" w:hint="eastAsia"/>
          <w:lang w:eastAsia="en-US"/>
        </w:rPr>
        <w:instrText>＜</w:instrText>
      </w:r>
      <w:r>
        <w:rPr>
          <w:rFonts w:eastAsia="Calibri"/>
          <w:lang w:eastAsia="en-US"/>
        </w:rPr>
        <w:instrText>0.05). Moreover, APAP inhibited erythroid 2-related factor 2 (Nrf2) antioxidative pathway with decreased of Nrf2 and HO-1 proteins levels. Furthermore, APAP aggravated the activation of NLRP3 inflammasome by increasing of NLRP3, caspase-1, ASC, IL-1β and IL-18 proteins levels. Finally, APAP further significantly activated the toll-like receptor 4 (TLR4), nuclear factor-kappa B (NF-κB) and mitogen-activated protein kinases (MAPKs) signaling pathways. This study demonstrated that APAP-induced hepatotoxicity by inhibiting of Nrf2 antioxidative pathway and promoting TLR4-NF-κB-MAPK inflammatory response and NLRP3 inflammasome activation.","author":[{"dropping-particle":"","family":"Shen","given":"Xing Ling","non-dropping-particle":"","parse-names":false,"suffix":""},{"dropping-particle":"","family":"Guo","given":"Yan Na","non-dropping-particle":"","parse-names":false,"suffix":""},{"dropping-particle":"","family":"Lu","given":"Meng Han","non-dropping-particle":"","parse-names":false,"suffix":""},{"dropping-particle":"","family":"Ding","given":"Kang Ning","non-dropping-particle":"","parse-names":false,"suffix":""},{"dropping-particle":"","family":"Liang","given":"Shao Shan","non-dropping-particle":"","parse-names":false,"suffix":""},{"dropping-particle":"","family":"Mou","given":"Rui Wei","non-dropping-particle":"","parse-names":false,"suffix":""},{"dropping-particle":"","family":"Yuan","given":"Sheng","non-dropping-particle":"","parse-names":false,"suffix":""},{"dropping-particle":"","family":"He","given":"Yong Ming","non-dropping-particle":"","parse-names":false,"suffix":""},{"dropping-particle":"","family":"Tang","given":"Lu Ping","non-dropping-particle":"","parse-names":false,"suffix":""}],"container-title":"Ecotoxicology and Environmental Safety","id":"ITEM-1","issue":"November 2022","issued":{"date-parts":[["2023"]]},"page":"114590","publisher":"Elsevier Inc.","title":"Acetaminophen-induced hepatotoxicity predominantly via inhibiting Nrf2 antioxidative pathway and activating TLR4-NF-κB-MAPK inflammatory response in mice","type":"article-journal","volume":"252"},"uris":["http://www.mendeley.com/documents/?uuid=53f801a2-e65c-4c02-ae06-dacca2890d92"]},{"id":"ITEM-2","itemData":{"DOI":"10.1016/j.biopha.2021.111732","ISSN":"19506007","PMID":"34130201","abstract":"Nerol, a monoterpene is evident to possess diverse biological activities, including antioxidant, anti-microbial, anti-spasmodic, anthelmintic, and anti-arrhythmias. This study aims to evaluate its hepatoprotective effect against paracetamol-induced liver toxicity in a rat model. Five groups of rats (n = 7) were orally treated (once daily) with 0.05% tween 80 dissolved in 0.9% NaCl solution (vehicle), paracetamol 640 mg/kg (negative control), 50 mg/kg silymarin (positive control), or nerol (50 and 100 mg/kg) for 14 days, followed by the hepatotoxicity induction using paracetamol (PCM). The blood samples and livers of the animals were collected and subjected to biochemical and microscopical analysis. The histological findings suggest that paracetamol caused lymphocyte infiltration and marked necrosis, whereas maintenance of the normal hepatic structural was observed in group pre-treated with silymarin and nerol. The rats pre-treated with nerol significantly and dose-dependently reduced the hepatotoxic markers in animals. Nerol at 100 mg/kg significantly reversed the paracetamol-induced altered situations, including the liver enzymes, plasma proteins, antioxidant enzymes and serum bilirubin, lipid peroxidation (LPO) and cholesterol [e.g., total cholesterol (TC), triglycerides (TG), high-density lipoprotein cholesterol (HDL-c), low-density lipoprotein cholesterol (LDL-c)] levels in animals. Taken together, nerol exerted significant hepatoprotective activity in rats in a dose-dependent manner. PCM-induced toxicity and nerol induced hepatoprotective effects based on expression of inflammatory and apoptosis factors will be future line of work for establishing the precise mechanism of action of nerol in Wistar albino rats.","author":[{"dropping-particle":"","family":"Islam","given":"Muhammad Torequl","non-dropping-particle":"","parse-names":false,"suffix":""},{"dropping-particle":"","family":"Quispe","given":"Cristina","non-dropping-particle":"","parse-names":false,"suffix":""},{"dropping-particle":"","family":"Islam","given":"Md Amirul","non-dropping-particle":"","parse-names":false,"suffix":""},{"dropping-particle":"","family":"Ali","given":"Eunus S.","non-dropping-particle":"","parse-names":false,"suffix":""},{"dropping-particle":"","family":"Saha","given":"Sushmita","non-dropping-particle":"","parse-names":false,"suffix":""},{"dropping-particle":"","family":"Asha","given":"Umma Hafsa","non-dropping-particle":"","parse-names":false,"suffix":""},{"dropping-particle":"","family":"Mondal","given":"Milon","non-dropping-particle":"","parse-names":false,"suffix":""},{"dropping-particle":"","family":"Razis","given":"Ahmad Faizal Abdull","non-dropping-particle":"","parse-names":false,"suffix":""},{"dropping-particle":"","family":"Sunusi","given":"Usman","non-dropping-particle":"","parse-names":false,"suffix":""},{"dropping-particle":"","family":"Kamal","given":"Ramla Muhammad","non-dropping-particle":"","parse-names":false,"suffix":""},{"dropping-particle":"","family":"Kumar","given":"Manoj","non-dropping-particle":"","parse-names":false,"suffix":""},{"dropping-particle":"","family":"Sharifi-Rad","given":"Javad","non-dropping-particle":"","parse-names":false,"suffix":""}],"container-title":"Biomedicine and Pharmacotherapy","id":"ITEM-2","issued":{"date-parts":[["2021"]]},"page":"111732","publisher":"Elsevier Masson SAS","title":"Effects of nerol on paracetamol-induced liver damage in Wistar albino rats","type":"article-journal","volume":"140"},"uris":["http://www.mendeley.com/documents/?uuid=011ad7b6-f873-4e6b-be06-4921670cabdd"]}],"mendeley":{"formattedCitation":"(Islam et al., 2021; Shen et al., 2023)","plainTextFormattedCitation":"(Islam et al., 2021; Shen et al., 2023)","previouslyFormattedCitation":"(Islam et al., 2021; Shen et al., 2023)"},"properties":{"noteIndex":0},"schema":"https://github.com/citation-style-language/schema/raw/master/csl-citation.json"}</w:instrText>
      </w:r>
      <w:r>
        <w:rPr>
          <w:rFonts w:eastAsia="Calibri"/>
          <w:lang w:eastAsia="en-US"/>
        </w:rPr>
        <w:fldChar w:fldCharType="separate"/>
      </w:r>
      <w:r w:rsidRPr="0025217C">
        <w:rPr>
          <w:rFonts w:eastAsia="Calibri"/>
          <w:noProof/>
          <w:lang w:eastAsia="en-US"/>
        </w:rPr>
        <w:t>(Islam et al., 2021; Shen et al., 2023)</w:t>
      </w:r>
      <w:r>
        <w:rPr>
          <w:rFonts w:eastAsia="Calibri"/>
          <w:lang w:eastAsia="en-US"/>
        </w:rPr>
        <w:fldChar w:fldCharType="end"/>
      </w:r>
      <w:r w:rsidRPr="00E17D7E">
        <w:rPr>
          <w:rFonts w:eastAsia="Calibri"/>
          <w:lang w:eastAsia="en-US"/>
        </w:rPr>
        <w:t xml:space="preserve">. Inflammation will reduce the permeability of the cell membrane, allowing the AST and ALT enzymes to exit the cell </w:t>
      </w:r>
      <w:r>
        <w:rPr>
          <w:rFonts w:eastAsia="Calibri"/>
          <w:lang w:eastAsia="en-US"/>
        </w:rPr>
        <w:fldChar w:fldCharType="begin" w:fldLock="1"/>
      </w:r>
      <w:r>
        <w:rPr>
          <w:rFonts w:eastAsia="Calibri"/>
          <w:lang w:eastAsia="en-US"/>
        </w:rPr>
        <w:instrText>ADDIN CSL_CITATION {"citationItems":[{"id":"ITEM-1","itemData":{"DOI":"10.1038/s41421-020-00233-2","ISSN":"2056-5968","author":[{"dropping-particle":"","family":"Dias","given":"Catarina","non-dropping-particle":"","parse-names":false,"suffix":""},{"dropping-particle":"","family":"Nylandsted","given":"Jesper","non-dropping-particle":"","parse-names":false,"suffix":""}],"container-title":"Cell Discovery","id":"ITEM-1","issued":{"date-parts":[["2021"]]},"publisher":"Springer US","title":"Plasma membrane integrity in health and disease : signi fi cance and therapeutic potential","type":"article-journal"},"uris":["http://www.mendeley.com/documents/?uuid=36637f84-f0e2-48f2-bcb7-200e9b7acaaa"]}],"mendeley":{"formattedCitation":"(Dias &amp; Nylandsted, 2021)","plainTextFormattedCitation":"(Dias &amp; Nylandsted, 2021)","previouslyFormattedCitation":"(Dias &amp; Nylandsted, 2021)"},"properties":{"noteIndex":0},"schema":"https://github.com/citation-style-language/schema/raw/master/csl-citation.json"}</w:instrText>
      </w:r>
      <w:r>
        <w:rPr>
          <w:rFonts w:eastAsia="Calibri"/>
          <w:lang w:eastAsia="en-US"/>
        </w:rPr>
        <w:fldChar w:fldCharType="separate"/>
      </w:r>
      <w:r w:rsidRPr="000C0C6E">
        <w:rPr>
          <w:rFonts w:eastAsia="Calibri"/>
          <w:noProof/>
          <w:lang w:eastAsia="en-US"/>
        </w:rPr>
        <w:t>(Dias &amp; Nylandsted, 2021)</w:t>
      </w:r>
      <w:r>
        <w:rPr>
          <w:rFonts w:eastAsia="Calibri"/>
          <w:lang w:eastAsia="en-US"/>
        </w:rPr>
        <w:fldChar w:fldCharType="end"/>
      </w:r>
      <w:r w:rsidRPr="00E17D7E">
        <w:rPr>
          <w:rFonts w:eastAsia="Calibri"/>
          <w:lang w:eastAsia="en-US"/>
        </w:rPr>
        <w:t xml:space="preserve">. Increased levels of these liver enzymes can be used to diagnose organ damage, especially the liver. After damage by paracetamol occurs, the range of AST and ALT levels increases in the blood </w:t>
      </w:r>
      <w:r>
        <w:rPr>
          <w:rFonts w:eastAsia="Calibri"/>
          <w:lang w:eastAsia="en-US"/>
        </w:rPr>
        <w:fldChar w:fldCharType="begin" w:fldLock="1"/>
      </w:r>
      <w:r>
        <w:rPr>
          <w:rFonts w:eastAsia="Calibri"/>
          <w:lang w:eastAsia="en-US"/>
        </w:rPr>
        <w:instrText>ADDIN CSL_CITATION {"citationItems":[{"id":"ITEM-1","itemData":{"DOI":"10.1016/j.ecoenv.2023.114590","ISSN":"10902414","PMID":"36738614","abstract":"To explore the action time and molecular mechanism underlying the effect of acetaminophen (APAP) on liver injury. APAP was used to establish drug-induced liver injury (DILI) model in mice. Mice in the model group were intraperitoneally injected 300 mg/kg APAP for 6, 12, and 24 h respectively, and control group mice were given the same volume of normal saline. The mice were anesthetized through intravenous injection of sodium pentobarbital at 6, 12, and 24 h after APAP poisoning. Analysis of ALT, AST and ALP in serum, liver histopathological observation, oxidative damage and western blot were performed. The livers in APAP exposed mice were pale, smaller, with a rough texture, and poorly arranged cells. Lesions, large areas of hyperemia, inflammation, swelling, poorly cell arrangement, necrosis, and apoptosis of liver cells were obvious in the liver tissue sections. Serum ALT, AST and ALP levels were significantly enhanced at 12 h of APAP adminstration mice than that of in control group mice (P</w:instrText>
      </w:r>
      <w:r>
        <w:rPr>
          <w:rFonts w:ascii="MS Gothic" w:eastAsia="MS Gothic" w:hAnsi="MS Gothic" w:cs="MS Gothic" w:hint="eastAsia"/>
          <w:lang w:eastAsia="en-US"/>
        </w:rPr>
        <w:instrText>＜</w:instrText>
      </w:r>
      <w:r>
        <w:rPr>
          <w:rFonts w:eastAsia="Calibri"/>
          <w:lang w:eastAsia="en-US"/>
        </w:rPr>
        <w:instrText>0.05). The histopathological alterations and proinflammatory cytokines (IL-1β, TNF-α and IL-6) levels were most severe at 12 h of APAP-induced hepatotoxicity. APAP treatment induced oxidative stress by decreasing hepatic activities of superoxide dismutase (SOD) and glutathione (GSH) (P</w:instrText>
      </w:r>
      <w:r>
        <w:rPr>
          <w:rFonts w:ascii="MS Gothic" w:eastAsia="MS Gothic" w:hAnsi="MS Gothic" w:cs="MS Gothic" w:hint="eastAsia"/>
          <w:lang w:eastAsia="en-US"/>
        </w:rPr>
        <w:instrText>＜</w:instrText>
      </w:r>
      <w:r>
        <w:rPr>
          <w:rFonts w:eastAsia="Calibri"/>
          <w:lang w:eastAsia="en-US"/>
        </w:rPr>
        <w:instrText>0.05), and enhancing malondialdehyde (MDA) content (P</w:instrText>
      </w:r>
      <w:r>
        <w:rPr>
          <w:rFonts w:ascii="MS Gothic" w:eastAsia="MS Gothic" w:hAnsi="MS Gothic" w:cs="MS Gothic" w:hint="eastAsia"/>
          <w:lang w:eastAsia="en-US"/>
        </w:rPr>
        <w:instrText>＜</w:instrText>
      </w:r>
      <w:r>
        <w:rPr>
          <w:rFonts w:eastAsia="Calibri"/>
          <w:lang w:eastAsia="en-US"/>
        </w:rPr>
        <w:instrText>0.05). Moreover, APAP inhibited erythroid 2-related factor 2 (Nrf2) antioxidative pathway with decreased of Nrf2 and HO-1 proteins levels. Furthermore, APAP aggravated the activation of NLRP3 inflammasome by increasing of NLRP3, caspase-1, ASC, IL-1β and IL-18 proteins levels. Finally, APAP further significantly activated the toll-like receptor 4 (TLR4), nuclear factor-kappa B (NF-κB) and mitogen-activated protein kinases (MAPKs) signaling pathways. This study demonstrated that APAP-induced hepatotoxicity by inhibiting of Nrf2 antioxidative pathway and promoting TLR4-NF-κB-MAPK inflammatory response and NLRP3 inflammasome activation.","author":[{"dropping-particle":"","family":"Shen","given":"Xing Ling","non-dropping-particle":"","parse-names":false,"suffix":""},{"dropping-particle":"","family":"Guo","given":"Yan Na","non-dropping-particle":"","parse-names":false,"suffix":""},{"dropping-particle":"","family":"Lu","given":"Meng Han","non-dropping-particle":"","parse-names":false,"suffix":""},{"dropping-particle":"","family":"Ding","given":"Kang Ning","non-dropping-particle":"","parse-names":false,"suffix":""},{"dropping-particle":"","family":"Liang","given":"Shao Shan","non-dropping-particle":"","parse-names":false,"suffix":""},{"dropping-particle":"","family":"Mou","given":"Rui Wei","non-dropping-particle":"","parse-names":false,"suffix":""},{"dropping-particle":"","family":"Yuan","given":"Sheng","non-dropping-particle":"","parse-names":false,"suffix":""},{"dropping-particle":"","family":"He","given":"Yong Ming","non-dropping-particle":"","parse-names":false,"suffix":""},{"dropping-particle":"","family":"Tang","given":"Lu Ping","non-dropping-particle":"","parse-names":false,"suffix":""}],"container-title":"Ecotoxicology and Environmental Safety","id":"ITEM-1","issue":"November 2022","issued":{"date-parts":[["2023"]]},"page":"114590","publisher":"Elsevier Inc.","title":"Acetaminophen-induced hepatotoxicity predominantly via inhibiting Nrf2 antioxidative pathway and activating TLR4-NF-κB-MAPK inflammatory response in mice","type":"article-journal","volume":"252"},"uris":["http://www.mendeley.com/documents/?uuid=53f801a2-e65c-4c02-ae06-dacca2890d92"]}],"mendeley":{"formattedCitation":"(Shen et al., 2023)","plainTextFormattedCitation":"(Shen et al., 2023)","previouslyFormattedCitation":"(Shen et al., 2023)"},"properties":{"noteIndex":0},"schema":"https://github.com/citation-style-language/schema/raw/master/csl-citation.json"}</w:instrText>
      </w:r>
      <w:r>
        <w:rPr>
          <w:rFonts w:eastAsia="Calibri"/>
          <w:lang w:eastAsia="en-US"/>
        </w:rPr>
        <w:fldChar w:fldCharType="separate"/>
      </w:r>
      <w:r w:rsidRPr="00EC79AF">
        <w:rPr>
          <w:rFonts w:eastAsia="Calibri"/>
          <w:noProof/>
          <w:lang w:eastAsia="en-US"/>
        </w:rPr>
        <w:t>(Shen et al., 2023)</w:t>
      </w:r>
      <w:r>
        <w:rPr>
          <w:rFonts w:eastAsia="Calibri"/>
          <w:lang w:eastAsia="en-US"/>
        </w:rPr>
        <w:fldChar w:fldCharType="end"/>
      </w:r>
      <w:r>
        <w:rPr>
          <w:rFonts w:eastAsia="Calibri"/>
          <w:lang w:eastAsia="en-US"/>
        </w:rPr>
        <w:t>.</w:t>
      </w:r>
    </w:p>
    <w:p w14:paraId="7CC7DD76" w14:textId="77777777" w:rsidR="00C128B2" w:rsidRDefault="00C128B2" w:rsidP="00C128B2">
      <w:pPr>
        <w:suppressAutoHyphens w:val="0"/>
        <w:autoSpaceDE w:val="0"/>
        <w:autoSpaceDN w:val="0"/>
        <w:adjustRightInd w:val="0"/>
        <w:ind w:firstLine="567"/>
        <w:jc w:val="both"/>
        <w:rPr>
          <w:rFonts w:eastAsia="Calibri"/>
          <w:lang w:eastAsia="en-US"/>
        </w:rPr>
      </w:pPr>
      <w:r w:rsidRPr="00915633">
        <w:rPr>
          <w:rFonts w:eastAsia="Calibri"/>
          <w:lang w:eastAsia="en-US"/>
        </w:rPr>
        <w:t xml:space="preserve">The figure also showed the increasing number of </w:t>
      </w:r>
      <w:proofErr w:type="gramStart"/>
      <w:r w:rsidRPr="00915633">
        <w:rPr>
          <w:rFonts w:eastAsia="Calibri"/>
          <w:lang w:eastAsia="en-US"/>
        </w:rPr>
        <w:t>ALT, but</w:t>
      </w:r>
      <w:proofErr w:type="gramEnd"/>
      <w:r w:rsidRPr="00915633">
        <w:rPr>
          <w:rFonts w:eastAsia="Calibri"/>
          <w:lang w:eastAsia="en-US"/>
        </w:rPr>
        <w:t xml:space="preserve"> not significantly compared to the normal group (K). The more significant increase in AST compared to ALT indicates that liver damage</w:t>
      </w:r>
      <w:r>
        <w:rPr>
          <w:rFonts w:eastAsia="Calibri"/>
          <w:lang w:eastAsia="en-US"/>
        </w:rPr>
        <w:t xml:space="preserve"> by paracetamol</w:t>
      </w:r>
      <w:r w:rsidRPr="00915633">
        <w:rPr>
          <w:rFonts w:eastAsia="Calibri"/>
          <w:lang w:eastAsia="en-US"/>
        </w:rPr>
        <w:t xml:space="preserve"> occurred at an early stage or mild occasion, and is commonly used as an additional or supporting data for the study that showed a normal range of ALT </w:t>
      </w:r>
      <w:r>
        <w:rPr>
          <w:rFonts w:eastAsia="Calibri"/>
          <w:lang w:eastAsia="en-US"/>
        </w:rPr>
        <w:fldChar w:fldCharType="begin" w:fldLock="1"/>
      </w:r>
      <w:r>
        <w:rPr>
          <w:rFonts w:eastAsia="Calibri"/>
          <w:lang w:eastAsia="en-US"/>
        </w:rPr>
        <w:instrText>ADDIN CSL_CITATION {"citationItems":[{"id":"ITEM-1","itemData":{"DOI":"10.21037/jlpm-20-93","ISSN":"25199005","abstract":"This narrative review summarized the existing knowledge on the association between aspartate aminotransferase (AST) and cardiovascular disease (CVD). AST plays a key role in the metabolism of amino acids, maintenance of NAD+/NADH ratio in cells, Krebs cycle activity, synthesis of purine/pyrimidine bases, urea and protein synthesis and gluconeogenesis. In humans, AST exists as two genetically and immunologically distinct isoenzymes: cytoplasmic AST and mitochondrial AST and both forms are found in circulation. AST activity is widely distributed across human tissues with the highest activity found in heart, liver, skeletal muscle, kidney and brain. An elevated AST activity may reflect tissue damage (plasma membrane disruption or apoptosis), plasma membrane bleb formation, increased tissue expression and macroenzymes (complexes of AST with plasma proteins). Serum AST activity is increased in patients with acute myocardial infarction in proportion with the extent of myocardial necrosis. Epidemiological evidence suggests the existence of an association between AST activity and CVD or mortality with positive, inverse or U (or J)-shaped association patterns. An elevated AST level not occurring in the setting of inflammatory liver disease may signify an increased cardiovascular risk related to nonalcoholic fatty liver disease (NAFLD), cardiometabolic risk factors (metabolic syndrome, abdominal obesity, insulin resistance and diabetes), chronic alcoholism and structural heart disease (myocardial infarction or congestive heart failure). A positive association between AST and CVD is more common in epidemiological studies in Asian population. Low AST levels may reflect increased cardiovascular risk related to vitamin B6 deficiency, advanced chronic kidney or liver diseases and inflammatory diseases. High and low AST levels have clinical meaning and both of them should be analyzed.","author":[{"dropping-particle":"","family":"Ndrepepa","given":"Gjin","non-dropping-particle":"","parse-names":false,"suffix":""}],"container-title":"Journal of Laboratory and Precision Medicine","id":"ITEM-1","issue":"January","issued":{"date-parts":[["2021"]]},"title":"Aspartate aminotransferase and cardiovascular disease - A narrative review","type":"article-journal","volume":"6"},"uris":["http://www.mendeley.com/documents/?uuid=a7c73d11-aa40-4586-81d2-b45ba0af5f5c"]},{"id":"ITEM-2","itemData":{"DOI":"10.3389/fphar.2023.1239395","ISSN":"16639812","abstract":"Acetaminophen (APAP) overdose is a significant cause of drug-induced liver injury and acute liver failure. The diagnosis, screening, and management of APAP-induced liver injury (AILI) is challenging because of the complex mechanisms involved. Starting from the current studies on the mechanisms of AILI, this review focuses on novel findings in the field of diagnosis, screening, and management of AILI. It highlights the current issues that need to be addressed. This review is supposed to summarize the recent research progress and make recommendations for future research.","author":[{"dropping-particle":"","family":"Li","given":"Xinghui","non-dropping-particle":"","parse-names":false,"suffix":""},{"dropping-particle":"","family":"Ni","given":"Jiaqi","non-dropping-particle":"","parse-names":false,"suffix":""},{"dropping-particle":"","family":"Chen","given":"Li","non-dropping-particle":"","parse-names":false,"suffix":""}],"container-title":"Frontiers in Pharmacology","id":"ITEM-2","issue":"August","issued":{"date-parts":[["2023"]]},"page":"1-13","title":"Advances in the study of acetaminophen-induced liver injury","type":"article-journal","volume":"14"},"uris":["http://www.mendeley.com/documents/?uuid=cdb75c35-c41d-4f82-9f15-a543aa198f83"]}],"mendeley":{"formattedCitation":"(X. Li et al., 2023; Ndrepepa, 2021)","plainTextFormattedCitation":"(X. Li et al., 2023; Ndrepepa, 2021)","previouslyFormattedCitation":"(X. Li et al., 2023; Ndrepepa, 2021)"},"properties":{"noteIndex":0},"schema":"https://github.com/citation-style-language/schema/raw/master/csl-citation.json"}</w:instrText>
      </w:r>
      <w:r>
        <w:rPr>
          <w:rFonts w:eastAsia="Calibri"/>
          <w:lang w:eastAsia="en-US"/>
        </w:rPr>
        <w:fldChar w:fldCharType="separate"/>
      </w:r>
      <w:r w:rsidRPr="00915633">
        <w:rPr>
          <w:rFonts w:eastAsia="Calibri"/>
          <w:noProof/>
          <w:lang w:eastAsia="en-US"/>
        </w:rPr>
        <w:t>(X. Li et al., 2023; Ndrepepa, 2021)</w:t>
      </w:r>
      <w:r>
        <w:rPr>
          <w:rFonts w:eastAsia="Calibri"/>
          <w:lang w:eastAsia="en-US"/>
        </w:rPr>
        <w:fldChar w:fldCharType="end"/>
      </w:r>
      <w:r>
        <w:rPr>
          <w:rFonts w:eastAsia="Calibri"/>
          <w:lang w:eastAsia="en-US"/>
        </w:rPr>
        <w:t xml:space="preserve">. </w:t>
      </w:r>
      <w:r w:rsidRPr="00FF4316">
        <w:rPr>
          <w:rFonts w:eastAsia="Calibri"/>
          <w:lang w:eastAsia="en-US"/>
        </w:rPr>
        <w:t>The initial stage of liver damage is liver inflammation due to hepatic cell destruction and AST release from mitochondria</w:t>
      </w:r>
      <w:r>
        <w:rPr>
          <w:rFonts w:eastAsia="Calibri"/>
          <w:lang w:eastAsia="en-US"/>
        </w:rPr>
        <w:t>. This problem phase</w:t>
      </w:r>
      <w:r w:rsidRPr="00FF4316">
        <w:rPr>
          <w:rFonts w:eastAsia="Calibri"/>
          <w:lang w:eastAsia="en-US"/>
        </w:rPr>
        <w:t xml:space="preserve"> is the first trigger of liver injury and fibrosis</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{"citationItems":[{"id":"ITEM-1","itemData":{"DOI":"10.24871/2222021116-123","ISSN":"1411-4801","abstract":"Background: Hepatitis B is acute or chronic liver inflammation caused by hepatitis B viral and can progress to hepatic chirrosis or liver cancer. Chronic hepatitis B has a high risk for liver fibrosis. Chronic inflammation and liver fibrosis are interrelated processes. This study aimed to determine the differences in T-regulator cells, Alanine Aminotransferase (ALT) and Aspartate Aminotransferase (AST) between chronic hepatitis B patients with and without liver fibrosis.Method: This study used a cross-sectional method for patients diagnosed with chronic hepatitis B in the Inpatient and Outpatient Department of the Internal Medicine Department  DR. M. Djamil Padang and other hospitals in Padang city for 6 months. Samples were selected by consecutive sampling according to inclusion and exclusion criteria. Liver fibrosis is identified by fibroscan. Data were analyzed by SPSS 21.0.Results: thirty-two patients were diagnosed with chronic hepatitis B and 50% had liver fibrosis. The levels of T-regulator cells in chronic hepatitis B patients without liver fibrosis were 2.08% and liver fibrosis 2.25%, but this difference was not statistically significant (p 0.05). Mean ALT levels in the group without fibrosis were 19 IU/L (7IU/L-71IU/L) and liver fibrosis 61 IU / L (13IU/L-625IU/L). The mean AST level in the group without fibrosis were 15.5 IU/L (10IU/L-32IU/L) and liver fibrosis 35.5 IU/L (10IU/L-476IU/L). The difference between ALT and AST in the two groups was significant (p 0.05). Hepatitis B patients with liver fibrosis had higher ALT and AST levels than without fibrosis.Conclusion: There were differences levels of T-regulator cells in the two groups, but it was not statistically significant. ALT and AST levels were higher in the liver fibrosis group and statistically significant.","author":[{"dropping-particle":"","family":"Derosa","given":"Yostila","non-dropping-particle":"","parse-names":false,"suffix":""},{"dropping-particle":"","family":"Zubir","given":"Nasrul","non-dropping-particle":"","parse-names":false,"suffix":""},{"dropping-particle":"","family":"Arnelis","given":"Raveinal","non-dropping-particle":"","parse-names":false,"suffix":""}],"container-title":"The Indonesian Journal of Gastroenterology, Hepatology, and Digestive Endoscopy","id":"ITEM-1","issue":"2","issued":{"date-parts":[["2021"]]},"page":"116-123","title":"The Differences of T-Regulator Cells, Alanine Aminotransferase Serum and Aspartate Aminotranspherase Between Hepatitis B Chronic Patients with and without Liver Fibrosis","type":"article-journal","volume":"22"},"uris":["http://www.mendeley.com/documents/?uuid=62f1dc35-aa50-41c8-8a1c-00b0e45eeef8"]},{"id":"ITEM-2","itemData":{"ISBN":"3336685370","abstract":"Liver fibrosis due to viral or metabolic chronic liver diseases is a major challenge of global health. Correlating with liver disease progression, fibrosis is a key factor for liver disease outcome and risk of hepatocellular carcinoma (HCC). Despite different mechanism of primary liver injury and disease-specific cell responses, the progression of fibrotic liver disease follows shared patterns across the main liver disease etiologies. Scientific discoveries within the last decade have transformed the understanding of the mechanisms of liver fibrosis. Removal or elimination of the causative agent such as control or cure of viral infection has shown that liver fibrosis is reversible. However, reversal often occurs too slowly or too infrequent to avoid life-threatening complications particularly in advanced fibrosis. Thus, there is a huge unmet medical need for anti-fibrotic therapies to prevent liver disease progression and HCC development. However, while many anti-fibrotic candidate agents have shown robust effects in experimental animal models, their anti-fibrotic effects in clinical trials have been limited or absent. Thus, no approved therapy exists for liver fibrosis. In this review we summarize cellular drivers and molecular mechanisms of fibrogenesis in chronic liver diseases and discuss their impact for the development of urgently needed anti-fibrotic therapies.","author":[{"dropping-particle":"","family":"Roehlen","given":"N","non-dropping-particle":"","parse-names":false,"suffix":""},{"dropping-particle":"","family":"Crouchet","given":"E","non-dropping-particle":"","parse-names":false,"suffix":""},{"dropping-particle":"","family":"Baumen","given":"T.E.","non-dropping-particle":"","parse-names":false,"suffix":""}],"container-title":"Cells","id":"ITEM-2","issue":"9","issued":{"date-parts":[["2020"]]},"number-of-pages":"1-43","title":"Liver Fibrosis : Mechanistic Concepts and","type":"book"},"uris":["http://www.mendeley.com/documents/?uuid=cb6ec62c-17d8-47d8-a2bd-76bcfb306537"]}],"mendeley":{"formattedCitation":"(Derosa et al., 2021; Roehlen et al., 2020)","plainTextFormattedCitation":"(Derosa et al., 2021; Roehlen et al., 2020)","previouslyFormattedCitation":"(Derosa et al., 2021; Roehlen et al., 2020)"},"properties":{"noteIndex":0},"schema":"https://github.com/citation-style-language/schema/raw/master/csl-citation.json"}</w:instrText>
      </w:r>
      <w:r>
        <w:rPr>
          <w:rFonts w:eastAsia="Calibri"/>
          <w:lang w:eastAsia="en-US"/>
        </w:rPr>
        <w:fldChar w:fldCharType="separate"/>
      </w:r>
      <w:r w:rsidRPr="00087C61">
        <w:rPr>
          <w:rFonts w:eastAsia="Calibri"/>
          <w:noProof/>
          <w:lang w:eastAsia="en-US"/>
        </w:rPr>
        <w:t>(Derosa et al., 2021; Roehlen et al., 2020)</w:t>
      </w:r>
      <w:r>
        <w:rPr>
          <w:rFonts w:eastAsia="Calibri"/>
          <w:lang w:eastAsia="en-US"/>
        </w:rPr>
        <w:fldChar w:fldCharType="end"/>
      </w:r>
      <w:r>
        <w:rPr>
          <w:rFonts w:eastAsia="Calibri"/>
          <w:lang w:eastAsia="en-US"/>
        </w:rPr>
        <w:t>.</w:t>
      </w:r>
    </w:p>
    <w:p w14:paraId="1A87F90C" w14:textId="77777777" w:rsidR="00C128B2" w:rsidRDefault="00C128B2" w:rsidP="00C128B2">
      <w:pPr>
        <w:suppressAutoHyphens w:val="0"/>
        <w:autoSpaceDE w:val="0"/>
        <w:autoSpaceDN w:val="0"/>
        <w:adjustRightInd w:val="0"/>
        <w:ind w:firstLine="567"/>
        <w:jc w:val="both"/>
        <w:rPr>
          <w:rFonts w:eastAsia="Calibri"/>
          <w:lang w:eastAsia="en-US"/>
        </w:rPr>
      </w:pPr>
      <w:r w:rsidRPr="00C55906">
        <w:rPr>
          <w:rFonts w:eastAsia="Calibri"/>
          <w:lang w:eastAsia="en-US"/>
        </w:rPr>
        <w:lastRenderedPageBreak/>
        <w:t xml:space="preserve">Simultaneously, hepatocyte necrosis releases damage-associated molecular patterns (DAMPs) into the extracellular environment, which activate Kupffer cells to produce pro-inflammatory cytokines (such as </w:t>
      </w:r>
      <w:r>
        <w:t xml:space="preserve">TNF-α </w:t>
      </w:r>
      <w:r w:rsidRPr="00C55906">
        <w:rPr>
          <w:rFonts w:eastAsia="Calibri"/>
          <w:lang w:eastAsia="en-US"/>
        </w:rPr>
        <w:t>and IL-1</w:t>
      </w:r>
      <w:r>
        <w:rPr>
          <w:rFonts w:eastAsia="Calibri"/>
          <w:lang w:eastAsia="en-US"/>
        </w:rPr>
        <w:t xml:space="preserve">β) </w:t>
      </w:r>
      <w:r>
        <w:rPr>
          <w:rFonts w:eastAsia="Calibri"/>
          <w:lang w:eastAsia="en-US"/>
        </w:rPr>
        <w:fldChar w:fldCharType="begin" w:fldLock="1"/>
      </w:r>
      <w:r>
        <w:rPr>
          <w:rFonts w:eastAsia="Calibri"/>
          <w:lang w:eastAsia="en-US"/>
        </w:rPr>
        <w:instrText>ADDIN CSL_CITATION {"citationItems":[{"id":"ITEM-1","itemData":{"DOI":"10.1016/j.ecoenv.2023.114590","ISSN":"10902414","PMID":"36738614","abstract":"To explore the action time and molecular mechanism underlying the effect of acetaminophen (APAP) on liver injury. APAP was used to establish drug-induced liver injury (DILI) model in mice. Mice in the model group were intraperitoneally injected 300 mg/kg APAP for 6, 12, and 24 h respectively, and control group mice were given the same volume of normal saline. The mice were anesthetized through intravenous injection of sodium pentobarbital at 6, 12, and 24 h after APAP poisoning. Analysis of ALT, AST and ALP in serum, liver histopathological observation, oxidative damage and western blot were performed. The livers in APAP exposed mice were pale, smaller, with a rough texture, and poorly arranged cells. Lesions, large areas of hyperemia, inflammation, swelling, poorly cell arrangement, necrosis, and apoptosis of liver cells were obvious in the liver tissue sections. Serum ALT, AST and ALP levels were significantly enhanced at 12 h of APAP adminstration mice than that of in control group mice (P</w:instrText>
      </w:r>
      <w:r>
        <w:rPr>
          <w:rFonts w:ascii="MS Gothic" w:eastAsia="MS Gothic" w:hAnsi="MS Gothic" w:cs="MS Gothic" w:hint="eastAsia"/>
          <w:lang w:eastAsia="en-US"/>
        </w:rPr>
        <w:instrText>＜</w:instrText>
      </w:r>
      <w:r>
        <w:rPr>
          <w:rFonts w:eastAsia="Calibri"/>
          <w:lang w:eastAsia="en-US"/>
        </w:rPr>
        <w:instrText>0.05). The histopathological alterations and proinflammatory cytokines (IL-1β, TNF-α and IL-6) levels were most severe at 12 h of APAP-induced hepatotoxicity. APAP treatment induced oxidative stress by decreasing hepatic activities of superoxide dismutase (SOD) and glutathione (GSH) (P</w:instrText>
      </w:r>
      <w:r>
        <w:rPr>
          <w:rFonts w:ascii="MS Gothic" w:eastAsia="MS Gothic" w:hAnsi="MS Gothic" w:cs="MS Gothic" w:hint="eastAsia"/>
          <w:lang w:eastAsia="en-US"/>
        </w:rPr>
        <w:instrText>＜</w:instrText>
      </w:r>
      <w:r>
        <w:rPr>
          <w:rFonts w:eastAsia="Calibri"/>
          <w:lang w:eastAsia="en-US"/>
        </w:rPr>
        <w:instrText>0.05), and enhancing malondialdehyde (MDA) content (P</w:instrText>
      </w:r>
      <w:r>
        <w:rPr>
          <w:rFonts w:ascii="MS Gothic" w:eastAsia="MS Gothic" w:hAnsi="MS Gothic" w:cs="MS Gothic" w:hint="eastAsia"/>
          <w:lang w:eastAsia="en-US"/>
        </w:rPr>
        <w:instrText>＜</w:instrText>
      </w:r>
      <w:r>
        <w:rPr>
          <w:rFonts w:eastAsia="Calibri"/>
          <w:lang w:eastAsia="en-US"/>
        </w:rPr>
        <w:instrText>0.05). Moreover, APAP inhibited erythroid 2-related factor 2 (Nrf2) antioxidative pathway with decreased of Nrf2 and HO-1 proteins levels. Furthermore, APAP aggravated the activation of NLRP3 inflammasome by increasing of NLRP3, caspase-1, ASC, IL-1β and IL-18 proteins levels. Finally, APAP further significantly activated the toll-like receptor 4 (TLR4), nuclear factor-kappa B (NF-κB) and mitogen-activated protein kinases (MAPKs) signaling pathways. This study demonstrated that APAP-induced hepatotoxicity by inhibiting of Nrf2 antioxidative pathway and promoting TLR4-NF-κB-MAPK inflammatory response and NLRP3 inflammasome activation.","author":[{"dropping-particle":"","family":"Shen","given":"Xing Ling","non-dropping-particle":"","parse-names":false,"suffix":""},{"dropping-particle":"","family":"Guo","given":"Yan Na","non-dropping-particle":"","parse-names":false,"suffix":""},{"dropping-particle":"","family":"Lu","given":"Meng Han","non-dropping-particle":"","parse-names":false,"suffix":""},{"dropping-particle":"","family":"Ding","given":"Kang Ning","non-dropping-particle":"","parse-names":false,"suffix":""},{"dropping-particle":"","family":"Liang","given":"Shao Shan","non-dropping-particle":"","parse-names":false,"suffix":""},{"dropping-particle":"","family":"Mou","given":"Rui Wei","non-dropping-particle":"","parse-names":false,"suffix":""},{"dropping-particle":"","family":"Yuan","given":"Sheng","non-dropping-particle":"","parse-names":false,"suffix":""},{"dropping-particle":"","family":"He","given":"Yong Ming","non-dropping-particle":"","parse-names":false,"suffix":""},{"dropping-particle":"","family":"Tang","given":"Lu Ping","non-dropping-particle":"","parse-names":false,"suffix":""}],"container-title":"Ecotoxicology and Environmental Safety","id":"ITEM-1","issue":"November 2022","issued":{"date-parts":[["2023"]]},"page":"114590","publisher":"Elsevier Inc.","title":"Acetaminophen-induced hepatotoxicity predominantly via inhibiting Nrf2 antioxidative pathway and activating TLR4-NF-κB-MAPK inflammatory response in mice","type":"article-journal","volume":"252"},"uris":["http://www.mendeley.com/documents/?uuid=53f801a2-e65c-4c02-ae06-dacca2890d92"]},{"id":"ITEM-2","itemData":{"DOI":"10.1016/j.livres.2023.03.001","ISSN":"25425684","abstract":"In many affluent nations, acetaminophen (APAP) overdose is the leading cause of drug-induced acute liver failure. The process of APAP-induced liver injury (AILI) is intimately tied to inflammation, including hepatocyte necrosis-caused initiation of inflammation, inflammation amplification that exacerbates liver injury, and the resolution of inflammation that triggers liver regeneration and repair. Excessive APAP metabolism in the liver eventually leads to hepatocyte necrosis and inflammation. Innate immune cells, such as neutrophils, eosinophils, monocytes, and gammadelta T cells, are recruited into the injured liver and release various cytokines. These immune cells and cytokines have been found to serve two purposes in AILI. In this review, we highlighted the dual role of inflammation, including inflammatory cytokines and inflammatory immune cells in AILI, and discussed possible explanations for contradictory findings.","author":[{"dropping-particle":"","family":"Xu","given":"Long","non-dropping-particle":"","parse-names":false,"suffix":""},{"dropping-particle":"","family":"Wang","given":"Hua","non-dropping-particle":"","parse-names":false,"suffix":""}],"container-title":"Liver Research","id":"ITEM-2","issue":"1","issued":{"date-parts":[["2023"]]},"page":"9-15","publisher":"The Third Affiliated Hospital of Sun Yat-sen University","title":"A dual role of inflammation in acetaminophen-induced liver injury","type":"article-journal","volume":"7"},"uris":["http://www.mendeley.com/documents/?uuid=ae32c47a-55b0-4b8c-a834-86c299bcccc8"]}],"mendeley":{"formattedCitation":"(Shen et al., 2023; L. Xu &amp; Wang, 2023)","plainTextFormattedCitation":"(Shen et al., 2023; L. Xu &amp; Wang, 2023)","previouslyFormattedCitation":"(Shen et al., 2023; L. Xu &amp; Wang, 2023)"},"properties":{"noteIndex":0},"schema":"https://github.com/citation-style-language/schema/raw/master/csl-citation.json"}</w:instrText>
      </w:r>
      <w:r>
        <w:rPr>
          <w:rFonts w:eastAsia="Calibri"/>
          <w:lang w:eastAsia="en-US"/>
        </w:rPr>
        <w:fldChar w:fldCharType="separate"/>
      </w:r>
      <w:r w:rsidRPr="00C55906">
        <w:rPr>
          <w:rFonts w:eastAsia="Calibri"/>
          <w:noProof/>
          <w:lang w:eastAsia="en-US"/>
        </w:rPr>
        <w:t>(Shen et al., 2023; L. Xu &amp; Wang, 2023)</w:t>
      </w:r>
      <w:r>
        <w:rPr>
          <w:rFonts w:eastAsia="Calibri"/>
          <w:lang w:eastAsia="en-US"/>
        </w:rPr>
        <w:fldChar w:fldCharType="end"/>
      </w:r>
      <w:r>
        <w:rPr>
          <w:rFonts w:eastAsia="Calibri"/>
          <w:lang w:eastAsia="en-US"/>
        </w:rPr>
        <w:t xml:space="preserve">. </w:t>
      </w:r>
      <w:r w:rsidRPr="00C55906">
        <w:rPr>
          <w:rFonts w:eastAsia="Calibri"/>
          <w:lang w:eastAsia="en-US"/>
        </w:rPr>
        <w:t xml:space="preserve">This process bridges oxidative stress with systemic inflammation, which is manifested through changes in the white blood cell profile. The accumulation of ROS and cytokines triggers chemotaxis, which is the mobilization of </w:t>
      </w:r>
      <w:r>
        <w:rPr>
          <w:rFonts w:eastAsia="Calibri"/>
          <w:lang w:eastAsia="en-US"/>
        </w:rPr>
        <w:t xml:space="preserve">lymphocytes, </w:t>
      </w:r>
      <w:r w:rsidRPr="00C55906">
        <w:rPr>
          <w:rFonts w:eastAsia="Calibri"/>
          <w:lang w:eastAsia="en-US"/>
        </w:rPr>
        <w:t xml:space="preserve">neutrophils and leukocytes from the </w:t>
      </w:r>
      <w:r>
        <w:rPr>
          <w:rFonts w:eastAsia="Calibri"/>
          <w:lang w:eastAsia="en-US"/>
        </w:rPr>
        <w:t xml:space="preserve">blood </w:t>
      </w:r>
      <w:r w:rsidRPr="00C55906">
        <w:rPr>
          <w:rFonts w:eastAsia="Calibri"/>
          <w:lang w:eastAsia="en-US"/>
        </w:rPr>
        <w:t>circulation and damaged liver tissue to perform phagocytosis of necrotic cells</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{"citationItems":[{"id":"ITEM-1","itemData":{"DOI":"10.1038/s41423-020-00560-0","ISBN":"4142302000","ISSN":"20420226","PMID":"33159158","abstract":"Previously, it was assumed that peripheral neutrophils are a homogeneous population that displays antimicrobial functions. However, recent data have revealed that neutrophils are heterogeneous and are additionally involved in tissue damage and immune regulation. The phenotypic and functional plasticity of neutrophils has been identified in patients with cancer, inflammatory disorders, infections, and other diseases. Currently, neutrophils, with their autocrine, paracrine, and immune modulation functions, have been shown to be involved in liver diseases, including viral hepatitis, nonalcoholic steatohepatitis, alcoholic liver disease, liver fibrosis, cirrhosis, liver failure, and liver cancer. Accordingly, this review summarizes the role of neutrophils in liver diseases.","author":[{"dropping-particle":"","family":"Liu","given":"Kai","non-dropping-particle":"","parse-names":false,"suffix":""},{"dropping-particle":"","family":"Wang","given":"Fu Sheng","non-dropping-particle":"","parse-names":false,"suffix":""},{"dropping-particle":"","family":"Xu","given":"Ruonan","non-dropping-particle":"","parse-names":false,"suffix":""}],"container-title":"Cellular and Molecular Immunology","id":"ITEM-1","issue":"1","issued":{"date-parts":[["2021"]]},"page":"38-44","publisher":"Springer US","title":"Neutrophils in liver diseases: pathogenesis and therapeutic targets","type":"article-journal","volume":"18"},"uris":["http://www.mendeley.com/documents/?uuid=ac2a2483-c074-4d67-b9df-7210a964170a"]}],"mendeley":{"formattedCitation":"(Liu et al., 2021)","plainTextFormattedCitation":"(Liu et al., 2021)","previouslyFormattedCitation":"(Liu et al., 2021)"},"properties":{"noteIndex":0},"schema":"https://github.com/citation-style-language/schema/raw/master/csl-citation.json"}</w:instrText>
      </w:r>
      <w:r>
        <w:rPr>
          <w:rFonts w:eastAsia="Calibri"/>
          <w:lang w:eastAsia="en-US"/>
        </w:rPr>
        <w:fldChar w:fldCharType="separate"/>
      </w:r>
      <w:r w:rsidRPr="00C55906">
        <w:rPr>
          <w:rFonts w:eastAsia="Calibri"/>
          <w:noProof/>
          <w:lang w:eastAsia="en-US"/>
        </w:rPr>
        <w:t>(Liu et al., 2021)</w:t>
      </w:r>
      <w:r>
        <w:rPr>
          <w:rFonts w:eastAsia="Calibri"/>
          <w:lang w:eastAsia="en-US"/>
        </w:rPr>
        <w:fldChar w:fldCharType="end"/>
      </w:r>
      <w:r>
        <w:rPr>
          <w:rFonts w:eastAsia="Calibri"/>
          <w:lang w:eastAsia="en-US"/>
        </w:rPr>
        <w:t>.</w:t>
      </w:r>
    </w:p>
    <w:p w14:paraId="6D69FA87" w14:textId="77777777" w:rsidR="00C128B2" w:rsidRPr="00C128B2" w:rsidRDefault="00C128B2" w:rsidP="00C128B2">
      <w:pPr>
        <w:suppressAutoHyphens w:val="0"/>
        <w:autoSpaceDE w:val="0"/>
        <w:autoSpaceDN w:val="0"/>
        <w:adjustRightInd w:val="0"/>
        <w:ind w:firstLine="567"/>
        <w:jc w:val="both"/>
        <w:rPr>
          <w:rFonts w:eastAsia="Calibri"/>
          <w:lang w:eastAsia="en-US"/>
        </w:rPr>
      </w:pPr>
      <w:r w:rsidRPr="00C128B2">
        <w:rPr>
          <w:rFonts w:eastAsia="Calibri"/>
          <w:lang w:eastAsia="en-US"/>
        </w:rPr>
        <w:t xml:space="preserve">Administration of paracetamol at a dose of 600 mg/kg for 10 days in the study </w:t>
      </w:r>
      <w:proofErr w:type="gramStart"/>
      <w:r w:rsidRPr="00C128B2">
        <w:rPr>
          <w:rFonts w:eastAsia="Calibri"/>
          <w:lang w:eastAsia="en-US"/>
        </w:rPr>
        <w:t>had an effect on</w:t>
      </w:r>
      <w:proofErr w:type="gramEnd"/>
      <w:r w:rsidRPr="00C128B2">
        <w:rPr>
          <w:rFonts w:eastAsia="Calibri"/>
          <w:lang w:eastAsia="en-US"/>
        </w:rPr>
        <w:t xml:space="preserve"> increasing the number of leukocytes, lymphocytes, and neutrophils in rats. According to He et al.</w:t>
      </w:r>
      <w:r w:rsidRPr="00C128B2">
        <w:rPr>
          <w:rFonts w:eastAsia="Calibri"/>
          <w:lang w:eastAsia="en-US"/>
        </w:rPr>
        <w:fldChar w:fldCharType="begin" w:fldLock="1"/>
      </w:r>
      <w:r w:rsidRPr="00C128B2">
        <w:rPr>
          <w:rFonts w:eastAsia="Calibri"/>
          <w:lang w:eastAsia="en-US"/>
        </w:rPr>
        <w:instrText>ADDIN CSL_CITATION {"citationItems":[{"id":"ITEM-1","itemData":{"DOI":"10.1016/j.heliyon.2023.e17776","ISSN":"24058440","abstract":"Objective: C-reactive protein to lymphocyte ratio (CLR) has been identified as a novel inflammatory biomarker. However, the role of CLR in myocardial infarction is unclear. Thus, this study designs to investigate the association of CLR with the prevalence of myocardial infarction in a large multiracial population in the United States. Methods: Participants from the National Health and Nutrition Examination Survey (NHANES) 2017–March 2020 Pre-pandemic were included in this cross-sectional study. Multivariable regression and subgroup analyses, controlling for demographic variables, were performed to examine the association between CLR and its quintiles and myocardial infarction. A smooth curve fitting was used to model the non-linear relationship between them. Results: A total of 12,615 participants aged ≥18 years were recruited, of whom 609 (4.83%) self-reported a history of myocardial infarction. Compared to those in the lowest quartile of ln-transformed CLR (Q1), the myocardial infarction risks for subjects in Q2, Q3, and Q4 were 1.64, 1.71, and 1.79 times, respectively. Obvious upward trends were observed when ln-transformed CLR increased (P for trend &lt;0.01). In continuous analyses, the fully adjusted odds ratios (OR) for myocardial infarction prevalence per ln-transformed increment in CLR was 1.46 (95% CI: 1.16–1.84, P &lt; 0.01). Furthermore, a linear association was detected for ln-transformed CLR with the risk of myocardial infarction. Interaction test showed that the effect of CLR on myocardial infarction was significantly affected by age (P for interaction = 0.04). Conclusions: Data from a large, cross-sectional cohort program show that CLR is positively associated with myocardial infarction prevalence. Our findings highlight that CLR may be a novel inflammation warning biomarker for myocardial infarction.","author":[{"dropping-particle":"","family":"He","given":"Lu","non-dropping-particle":"","parse-names":false,"suffix":""},{"dropping-particle":"","family":"Xie","given":"Hang","non-dropping-particle":"","parse-names":false,"suffix":""},{"dropping-particle":"","family":"Du","given":"Yajuan","non-dropping-particle":"","parse-names":false,"suffix":""},{"dropping-particle":"","family":"Xie","given":"Xuegang","non-dropping-particle":"","parse-names":false,"suffix":""},{"dropping-particle":"","family":"Zhang","given":"Yushun","non-dropping-particle":"","parse-names":false,"suffix":""}],"container-title":"Heliyon","id":"ITEM-1","issue":"7","issued":{"date-parts":[["2023"]]},"title":"The relationship between C-reactive protein to lymphocyte ratio and the prevalence of myocardial infarction in US adults: A cross-sectional study","type":"article-journal","volume":"9"},"suppress-author":1,"uris":["http://www.mendeley.com/documents/?uuid=04b94046-5618-4d5f-9752-2021eeec8571"]}],"mendeley":{"formattedCitation":"(2023)","plainTextFormattedCitation":"(2023)","previouslyFormattedCitation":"(2023)"},"properties":{"noteIndex":0},"schema":"https://github.com/citation-style-language/schema/raw/master/csl-citation.json"}</w:instrText>
      </w:r>
      <w:r w:rsidRPr="00C128B2">
        <w:rPr>
          <w:rFonts w:eastAsia="Calibri"/>
          <w:lang w:eastAsia="en-US"/>
        </w:rPr>
        <w:fldChar w:fldCharType="separate"/>
      </w:r>
      <w:r w:rsidRPr="00C128B2">
        <w:rPr>
          <w:rFonts w:eastAsia="Calibri"/>
          <w:noProof/>
          <w:lang w:eastAsia="en-US"/>
        </w:rPr>
        <w:t>(2023)</w:t>
      </w:r>
      <w:r w:rsidRPr="00C128B2">
        <w:rPr>
          <w:rFonts w:eastAsia="Calibri"/>
          <w:lang w:eastAsia="en-US"/>
        </w:rPr>
        <w:fldChar w:fldCharType="end"/>
      </w:r>
      <w:r w:rsidRPr="00C128B2">
        <w:rPr>
          <w:rFonts w:eastAsia="Calibri"/>
          <w:lang w:eastAsia="en-US"/>
        </w:rPr>
        <w:t xml:space="preserve">, the increased number of lymphocytes indicates the inflammatory status that can occur, including chronic. An increase in total leukocytes, lymphocytes, and neutrophils is one indicator of an inflammatory response triggered by paracetamol metabolism. The results of the study are consistent with previous studies, namely that paracetamol in rats caused a significant increase in the number of leukocytes </w:t>
      </w:r>
      <w:r w:rsidRPr="00C128B2">
        <w:rPr>
          <w:rFonts w:eastAsia="Calibri"/>
          <w:lang w:eastAsia="en-US"/>
        </w:rPr>
        <w:fldChar w:fldCharType="begin" w:fldLock="1"/>
      </w:r>
      <w:r w:rsidRPr="00C128B2">
        <w:rPr>
          <w:rFonts w:eastAsia="Calibri"/>
          <w:lang w:eastAsia="en-US"/>
        </w:rPr>
        <w:instrText>ADDIN CSL_CITATION {"citationItems":[{"id":"ITEM-1","itemData":{"DOI":"10.1038/s41598-021-83316-8","ISBN":"0123456789","ISSN":"20452322","PMID":"33594164","abstract":"Paracetamol is extensively consumed as an analgesic and antipyretic drug, but at a high dose level, it leads to deleterious side effects, such as hepatic and nephrotoxicity. This research aimed to estimate the prophylactic efficacy of Chlorella vulgaris and/or thiamine against paracetamol (P) induced hepatorenal and cardiac toxicity. Forty-eight female Wistar rats were randomly divided into eight equal groups (n = 6 rats). Group 1, normal control group. Group 2, Paracetamol group. Groups 3, 4 and 5 were treated with Silymarin drug, Chlorella vulgaris alga, Chlorella vulgaris alga supplemented with thiamine, respectively daily for 7 successive days, then all were administered Paracetamol (2gm/kg. bwt.). While, Groups 6, 7 and 8 were treated by Silymarin, Chlorella vulgaris alga, Chlorella vulgaris supplemented with thiamine, respectively daily for 7 successive days without paracetamol administration. Our results clarified that Paracetamol toxicity caused significant adverse effects on hematological, serum biochemical parameters, and oxidant -antioxidant status as well as histopathological picture of heart, liver, and kidney. However, in the Paracetamol intoxicated groups pretreatment either with Chlorella vulgaris alone or plus thiamine successfully improved the undesirable deleterious effects of paracetamol, and restored almost all variables to near their control levels. This study has finished to that oxidative stress participates in the pathogenesis of paracetamol-induced toxicity in rats and using Chlorella vulgaris alga either alone or plus thiamine alongside their health benefits can protect against oxidative harmful effects induced by paracetamol through their free radical scavenging and powerful antioxidant effects, and they can be used as propylactic agents against paracetamol-induced toxicity.","author":[{"dropping-particle":"El","family":"Latif","given":"Amera Abd","non-dropping-particle":"","parse-names":false,"suffix":""},{"dropping-particle":"","family":"Assar","given":"Doaa H.","non-dropping-particle":"","parse-names":false,"suffix":""},{"dropping-particle":"","family":"Elkaw","given":"Ebtihal M.","non-dropping-particle":"","parse-names":false,"suffix":""},{"dropping-particle":"","family":"Hamza","given":"Hanafy A.","non-dropping-particle":"","parse-names":false,"suffix":""},{"dropping-particle":"","family":"Alkhalifah","given":"Dalal Hussien M.","non-dropping-particle":"","parse-names":false,"suffix":""},{"dropping-particle":"","family":"Hozzein","given":"Wael N.","non-dropping-particle":"","parse-names":false,"suffix":""},{"dropping-particle":"","family":"Hamouda","given":"Ragaa A.","non-dropping-particle":"","parse-names":false,"suffix":""}],"container-title":"Scientific Reports","id":"ITEM-1","issue":"1","issued":{"date-parts":[["2021"]]},"page":"1-16","publisher":"Nature Publishing Group UK","title":"Protective Role of Chlorella vulgaris with Thiamine against Paracetamol Induced Toxic Effects on Haematological, Biochemical, Oxidative Stress Parameters and Histopathological Changes in Wistar Rats","type":"article-journal","volume":"11"},"uris":["http://www.mendeley.com/documents/?uuid=b1607ba7-8a7e-4797-a0fe-eed0f537d5ff"]}],"mendeley":{"formattedCitation":"(Latif et al., 2021)","plainTextFormattedCitation":"(Latif et al., 2021)","previouslyFormattedCitation":"(Latif et al., 2021)"},"properties":{"noteIndex":0},"schema":"https://github.com/citation-style-language/schema/raw/master/csl-citation.json"}</w:instrText>
      </w:r>
      <w:r w:rsidRPr="00C128B2">
        <w:rPr>
          <w:rFonts w:eastAsia="Calibri"/>
          <w:lang w:eastAsia="en-US"/>
        </w:rPr>
        <w:fldChar w:fldCharType="separate"/>
      </w:r>
      <w:r w:rsidRPr="00C128B2">
        <w:rPr>
          <w:rFonts w:eastAsia="Calibri"/>
          <w:noProof/>
          <w:lang w:eastAsia="en-US"/>
        </w:rPr>
        <w:t>(Latif et al., 2021)</w:t>
      </w:r>
      <w:r w:rsidRPr="00C128B2">
        <w:rPr>
          <w:rFonts w:eastAsia="Calibri"/>
          <w:lang w:eastAsia="en-US"/>
        </w:rPr>
        <w:fldChar w:fldCharType="end"/>
      </w:r>
      <w:r w:rsidRPr="00C128B2">
        <w:rPr>
          <w:rFonts w:eastAsia="Calibri"/>
          <w:lang w:eastAsia="en-US"/>
        </w:rPr>
        <w:t xml:space="preserve">. Another study also stated that inflammation can be caused by the administration of high doses of paracetamol, so that neutrophils will be active and migrate to liver cells to make repairs </w:t>
      </w:r>
      <w:r w:rsidRPr="00C128B2">
        <w:rPr>
          <w:rFonts w:eastAsia="Calibri"/>
          <w:lang w:eastAsia="en-US"/>
        </w:rPr>
        <w:fldChar w:fldCharType="begin" w:fldLock="1"/>
      </w:r>
      <w:r w:rsidRPr="00C128B2">
        <w:rPr>
          <w:rFonts w:eastAsia="Calibri"/>
          <w:lang w:eastAsia="en-US"/>
        </w:rPr>
        <w:instrText>ADDIN CSL_CITATION {"citationItems":[{"id":"ITEM-1","itemData":{"DOI":"10.1111/cpr.13040","ISSN":"13652184","PMID":"33942422","abstract":"Acetaminophen (APAP) is a widely applied drug for the alleviation of pain and fever, which is also a dose-depedent toxin. APAP-induced acute liver injury has become one of the primary causes of liver failure which is an increasingly serious threat to human health. Neutrophils are the major immune cells in human serving as the first barrier against the invasion of pathogen. It has been reported that neutrophils patriciate in the occurrence and development of APAP-induced liver injury. However, evolving evidences suggest that neutrophils also contribute to tissue repair and actively orchestrate resolution of inflammation. Here, we addressed the complex roles in APAP-induced liver injury on the basis of brief introduction of neutrophil's activation, recruitment and migration.","author":[{"dropping-particle":"","family":"Guo","given":"Huiting","non-dropping-particle":"","parse-names":false,"suffix":""},{"dropping-particle":"","family":"Chen","given":"Shiwei","non-dropping-particle":"","parse-names":false,"suffix":""},{"dropping-particle":"","family":"Xie","given":"Mingjie","non-dropping-particle":"","parse-names":false,"suffix":""},{"dropping-particle":"","family":"Zhou","given":"Cheng","non-dropping-particle":"","parse-names":false,"suffix":""},{"dropping-particle":"","family":"Zheng","given":"Min","non-dropping-particle":"","parse-names":false,"suffix":""}],"container-title":"Cell Proliferation","id":"ITEM-1","issue":"6","issued":{"date-parts":[["2021"]]},"page":"1-7","title":"The complex roles of neutrophils in APAP-induced liver injury","type":"article-journal","volume":"54"},"uris":["http://www.mendeley.com/documents/?uuid=68921f8a-ecd5-4fa7-99f0-e4df4912878c"]}],"mendeley":{"formattedCitation":"(Guo et al., 2021)","plainTextFormattedCitation":"(Guo et al., 2021)","previouslyFormattedCitation":"(Guo et al., 2021)"},"properties":{"noteIndex":0},"schema":"https://github.com/citation-style-language/schema/raw/master/csl-citation.json"}</w:instrText>
      </w:r>
      <w:r w:rsidRPr="00C128B2">
        <w:rPr>
          <w:rFonts w:eastAsia="Calibri"/>
          <w:lang w:eastAsia="en-US"/>
        </w:rPr>
        <w:fldChar w:fldCharType="separate"/>
      </w:r>
      <w:r w:rsidRPr="00C128B2">
        <w:rPr>
          <w:rFonts w:eastAsia="Calibri"/>
          <w:noProof/>
          <w:lang w:eastAsia="en-US"/>
        </w:rPr>
        <w:t>(Guo et al., 2021)</w:t>
      </w:r>
      <w:r w:rsidRPr="00C128B2">
        <w:rPr>
          <w:rFonts w:eastAsia="Calibri"/>
          <w:lang w:eastAsia="en-US"/>
        </w:rPr>
        <w:fldChar w:fldCharType="end"/>
      </w:r>
      <w:r w:rsidRPr="00C128B2">
        <w:rPr>
          <w:rFonts w:eastAsia="Calibri"/>
          <w:lang w:eastAsia="en-US"/>
        </w:rPr>
        <w:t>.</w:t>
      </w:r>
    </w:p>
    <w:p w14:paraId="15BCFD97" w14:textId="77777777" w:rsidR="00C128B2" w:rsidRDefault="00C128B2" w:rsidP="00C128B2">
      <w:pPr>
        <w:suppressAutoHyphens w:val="0"/>
        <w:autoSpaceDE w:val="0"/>
        <w:autoSpaceDN w:val="0"/>
        <w:adjustRightInd w:val="0"/>
        <w:ind w:firstLine="567"/>
        <w:jc w:val="both"/>
        <w:rPr>
          <w:rFonts w:eastAsia="Calibri"/>
          <w:lang w:eastAsia="en-US"/>
        </w:rPr>
      </w:pPr>
      <w:r w:rsidRPr="00F17B80">
        <w:rPr>
          <w:rFonts w:eastAsia="Calibri"/>
          <w:lang w:eastAsia="en-US"/>
        </w:rPr>
        <w:t>The increase in free radicals by paracetamol will inhibit the citric acid cycle and fatty acid oxidation in the mitochondria. This results in fatty acids not being oxidized properly in the mitochondria and fat synthesis occurs in the cytoplasm (Ganetsky et al., 2020; Luo et al., 2023). In the signaling pathway, high ROS levels in hepatocytes will activate SREBP1 (Sterol Regulatory Element Binding Protein). This protein is a protein that will affect lipid metabolism and synthesis (Ma et al., 2022).</w:t>
      </w:r>
      <w:r w:rsidRPr="001E0F58">
        <w:rPr>
          <w:rFonts w:eastAsia="Calibri"/>
          <w:lang w:eastAsia="en-US"/>
        </w:rPr>
        <w:t xml:space="preserve"> </w:t>
      </w:r>
    </w:p>
    <w:p w14:paraId="0E5936BE" w14:textId="77777777" w:rsidR="00C128B2" w:rsidRDefault="00C128B2" w:rsidP="00C128B2">
      <w:pPr>
        <w:suppressAutoHyphens w:val="0"/>
        <w:autoSpaceDE w:val="0"/>
        <w:autoSpaceDN w:val="0"/>
        <w:adjustRightInd w:val="0"/>
        <w:ind w:firstLine="567"/>
        <w:jc w:val="both"/>
        <w:rPr>
          <w:rFonts w:eastAsia="Calibri"/>
          <w:lang w:eastAsia="en-US"/>
        </w:rPr>
      </w:pPr>
      <w:r w:rsidRPr="00F17B80">
        <w:rPr>
          <w:rFonts w:eastAsia="Calibri"/>
          <w:lang w:eastAsia="en-US"/>
        </w:rPr>
        <w:t xml:space="preserve">The results of measuring triglyceride and total cholesterol levels have not shown any effect of green tea extract, although there has been a tendency to decrease. </w:t>
      </w:r>
      <w:r w:rsidRPr="001E0F58">
        <w:rPr>
          <w:rFonts w:eastAsia="Calibri"/>
          <w:lang w:eastAsia="en-US"/>
        </w:rPr>
        <w:t>Giving a dose of paracetamol at a dose of 600 mg/kg for 10 days is considered not to interfere with fat metabolism.</w:t>
      </w:r>
      <w:r>
        <w:rPr>
          <w:rFonts w:eastAsia="Calibri"/>
          <w:lang w:eastAsia="en-US"/>
        </w:rPr>
        <w:t xml:space="preserve"> </w:t>
      </w:r>
      <w:r w:rsidRPr="001E0F58">
        <w:rPr>
          <w:rFonts w:eastAsia="Calibri"/>
          <w:lang w:eastAsia="en-US"/>
        </w:rPr>
        <w:t xml:space="preserve">In Islam's study </w:t>
      </w:r>
      <w:r w:rsidRPr="001E0F58">
        <w:rPr>
          <w:rFonts w:eastAsia="Calibri"/>
          <w:lang w:eastAsia="en-US"/>
        </w:rPr>
        <w:fldChar w:fldCharType="begin" w:fldLock="1"/>
      </w:r>
      <w:r w:rsidRPr="001E0F58">
        <w:rPr>
          <w:rFonts w:eastAsia="Calibri"/>
          <w:lang w:eastAsia="en-US"/>
        </w:rPr>
        <w:instrText>ADDIN CSL_CITATION {"citationItems":[{"id":"ITEM-1","itemData":{"DOI":"10.1016/j.biopha.2021.111732","ISSN":"19506007","PMID":"34130201","abstract":"Nerol, a monoterpene is evident to possess diverse biological activities, including antioxidant, anti-microbial, anti-spasmodic, anthelmintic, and anti-arrhythmias. This study aims to evaluate its hepatoprotective effect against paracetamol-induced liver toxicity in a rat model. Five groups of rats (n = 7) were orally treated (once daily) with 0.05% tween 80 dissolved in 0.9% NaCl solution (vehicle), paracetamol 640 mg/kg (negative control), 50 mg/kg silymarin (positive control), or nerol (50 and 100 mg/kg) for 14 days, followed by the hepatotoxicity induction using paracetamol (PCM). The blood samples and livers of the animals were collected and subjected to biochemical and microscopical analysis. The histological findings suggest that paracetamol caused lymphocyte infiltration and marked necrosis, whereas maintenance of the normal hepatic structural was observed in group pre-treated with silymarin and nerol. The rats pre-treated with nerol significantly and dose-dependently reduced the hepatotoxic markers in animals. Nerol at 100 mg/kg significantly reversed the paracetamol-induced altered situations, including the liver enzymes, plasma proteins, antioxidant enzymes and serum bilirubin, lipid peroxidation (LPO) and cholesterol [e.g., total cholesterol (TC), triglycerides (TG), high-density lipoprotein cholesterol (HDL-c), low-density lipoprotein cholesterol (LDL-c)] levels in animals. Taken together, nerol exerted significant hepatoprotective activity in rats in a dose-dependent manner. PCM-induced toxicity and nerol induced hepatoprotective effects based on expression of inflammatory and apoptosis factors will be future line of work for establishing the precise mechanism of action of nerol in Wistar albino rats.","author":[{"dropping-particle":"","family":"Islam","given":"Muhammad Torequl","non-dropping-particle":"","parse-names":false,"suffix":""},{"dropping-particle":"","family":"Quispe","given":"Cristina","non-dropping-particle":"","parse-names":false,"suffix":""},{"dropping-particle":"","family":"Islam","given":"Md Amirul","non-dropping-particle":"","parse-names":false,"suffix":""},{"dropping-particle":"","family":"Ali","given":"Eunus S.","non-dropping-particle":"","parse-names":false,"suffix":""},{"dropping-particle":"","family":"Saha","given":"Sushmita","non-dropping-particle":"","parse-names":false,"suffix":""},{"dropping-particle":"","family":"Asha","given":"Umma Hafsa","non-dropping-particle":"","parse-names":false,"suffix":""},{"dropping-particle":"","family":"Mondal","given":"Milon","non-dropping-particle":"","parse-names":false,"suffix":""},{"dropping-particle":"","family":"Razis","given":"Ahmad Faizal Abdull","non-dropping-particle":"","parse-names":false,"suffix":""},{"dropping-particle":"","family":"Sunusi","given":"Usman","non-dropping-particle":"","parse-names":false,"suffix":""},{"dropping-particle":"","family":"Kamal","given":"Ramla Muhammad","non-dropping-particle":"","parse-names":false,"suffix":""},{"dropping-particle":"","family":"Kumar","given":"Manoj","non-dropping-particle":"","parse-names":false,"suffix":""},{"dropping-particle":"","family":"Sharifi-Rad","given":"Javad","non-dropping-particle":"","parse-names":false,"suffix":""}],"container-title":"Biomedicine and Pharmacotherapy","id":"ITEM-1","issued":{"date-parts":[["2021"]]},"page":"111732","publisher":"Elsevier Masson SAS","title":"Effects of nerol on paracetamol-induced liver damage in Wistar albino rats","type":"article-journal","volume":"140"},"suppress-author":1,"uris":["http://www.mendeley.com/documents/?uuid=011ad7b6-f873-4e6b-be06-4921670cabdd"]}],"mendeley":{"formattedCitation":"(2021)","plainTextFormattedCitation":"(2021)","previouslyFormattedCitation":"(2021)"},"properties":{"noteIndex":0},"schema":"https://github.com/citation-style-language/schema/raw/master/csl-citation.json"}</w:instrText>
      </w:r>
      <w:r w:rsidRPr="001E0F58">
        <w:rPr>
          <w:rFonts w:eastAsia="Calibri"/>
          <w:lang w:eastAsia="en-US"/>
        </w:rPr>
        <w:fldChar w:fldCharType="separate"/>
      </w:r>
      <w:r w:rsidRPr="001E0F58">
        <w:rPr>
          <w:rFonts w:eastAsia="Calibri"/>
          <w:noProof/>
          <w:lang w:eastAsia="en-US"/>
        </w:rPr>
        <w:t>(2021)</w:t>
      </w:r>
      <w:r w:rsidRPr="001E0F58">
        <w:rPr>
          <w:rFonts w:eastAsia="Calibri"/>
          <w:lang w:eastAsia="en-US"/>
        </w:rPr>
        <w:fldChar w:fldCharType="end"/>
      </w:r>
      <w:r w:rsidRPr="001E0F58">
        <w:rPr>
          <w:rFonts w:eastAsia="Calibri"/>
          <w:lang w:eastAsia="en-US"/>
        </w:rPr>
        <w:t xml:space="preserve">, using a dose of 640 mg/kg of Sprague Dawley rats for 14 days, cholesterol levels and triglyceride levels can be significantly increased. Singh &amp; Shukla’s study </w:t>
      </w:r>
      <w:r w:rsidRPr="001E0F58">
        <w:rPr>
          <w:rFonts w:eastAsia="Calibri"/>
          <w:lang w:eastAsia="en-US"/>
        </w:rPr>
        <w:fldChar w:fldCharType="begin" w:fldLock="1"/>
      </w:r>
      <w:r w:rsidRPr="001E0F58">
        <w:rPr>
          <w:rFonts w:eastAsia="Calibri"/>
          <w:lang w:eastAsia="en-US"/>
        </w:rPr>
        <w:instrText>ADDIN CSL_CITATION {"citationItems":[{"id":"ITEM-1","itemData":{"author":[{"dropping-particle":"","family":"Kanpur","given":"Delhi","non-dropping-particle":"","parse-names":false,"suffix":""}],"id":"ITEM-1","issue":"10","issued":{"date-parts":[["2020"]]},"page":"2557-2566","title":"Issn: 2277–4998","type":"article-journal","volume":"9"},"suppress-author":1,"uris":["http://www.mendeley.com/documents/?uuid=f7ed21e8-4876-49f1-b005-02fa7f3674d1"]}],"mendeley":{"formattedCitation":"(2020)","plainTextFormattedCitation":"(2020)","previouslyFormattedCitation":"(2020)"},"properties":{"noteIndex":0},"schema":"https://github.com/citation-style-language/schema/raw/master/csl-citation.json"}</w:instrText>
      </w:r>
      <w:r w:rsidRPr="001E0F58">
        <w:rPr>
          <w:rFonts w:eastAsia="Calibri"/>
          <w:lang w:eastAsia="en-US"/>
        </w:rPr>
        <w:fldChar w:fldCharType="separate"/>
      </w:r>
      <w:r w:rsidRPr="001E0F58">
        <w:rPr>
          <w:rFonts w:eastAsia="Calibri"/>
          <w:noProof/>
          <w:lang w:eastAsia="en-US"/>
        </w:rPr>
        <w:t>(2020)</w:t>
      </w:r>
      <w:r w:rsidRPr="001E0F58">
        <w:rPr>
          <w:rFonts w:eastAsia="Calibri"/>
          <w:lang w:eastAsia="en-US"/>
        </w:rPr>
        <w:fldChar w:fldCharType="end"/>
      </w:r>
      <w:r w:rsidRPr="001E0F58">
        <w:rPr>
          <w:rFonts w:eastAsia="Calibri"/>
          <w:lang w:eastAsia="en-US"/>
        </w:rPr>
        <w:t xml:space="preserve">, stated that paracetamol can increase cholesterol levels and triglyceride levels at a dose of 3000 mg/kg. Paracetamol affects the increase in triglyceride and cholesterol levels indirectly, so it takes a long time and a large dose. Increased cholesterol and triglyceride levels were supported by a high-cholesterol diet for 2 weeks </w:t>
      </w:r>
      <w:r w:rsidRPr="001E0F58">
        <w:rPr>
          <w:rFonts w:eastAsia="Calibri"/>
          <w:lang w:eastAsia="en-US"/>
        </w:rPr>
        <w:fldChar w:fldCharType="begin" w:fldLock="1"/>
      </w:r>
      <w:r w:rsidRPr="001E0F58">
        <w:rPr>
          <w:rFonts w:eastAsia="Calibri"/>
          <w:lang w:eastAsia="en-US"/>
        </w:rPr>
        <w:instrText>ADDIN CSL_CITATION {"citationItems":[{"id":"ITEM-1","itemData":{"DOI":"10.3390/livers3010003","ISSN":"26734389","abstract":"The epidemic of obesity, type 2 diabetes and nonalcoholic liver disease (NAFLD) favors drug consumption, which augments the risk of adverse events including liver injury. For more than 30 years, a series of experimental and clinical investigations reported or suggested that the common pain reliever acetaminophen (APAP) could be more hepatotoxic in obesity and related metabolic diseases, at least after an overdose. Nonetheless, several investigations did not reproduce these data. This discrepancy might come from the extent of obesity and steatosis, accumulation of specific lipid species, mitochondrial dysfunction and diabetes-related parameters such as ketonemia and hyperglycemia. Among these factors, some of them seem pivotal for the induction of cytochrome P450 2E1 (CYP2E1), which favors the conversion of APAP to the toxic metabolite N-acetyl-p-benzoquinone imine (NAPQI). In contrast, other factors might explain why obesity and NAFLD are not always associated with more frequent or more severe APAP-induced acute hepatotoxicity, such as increased volume of distribution in the body, higher hepatic glucuronidation and reduced CYP3A4 activity. Accordingly, the occurrence and outcome of APAP-induced liver injury in an obese individual with NAFLD would depend on a delicate balance between metabolic factors that augment the generation of NAPQI and others that can mitigate hepatotoxicity.","author":[{"dropping-particle":"","family":"Begriche","given":"Karima","non-dropping-particle":"","parse-names":false,"suffix":""},{"dropping-particle":"","family":"Penhoat","given":"Clémence","non-dropping-particle":"","parse-names":false,"suffix":""},{"dropping-particle":"","family":"Bernabeu-Gentey","given":"Pénélope","non-dropping-particle":"","parse-names":false,"suffix":""},{"dropping-particle":"","family":"Massart","given":"Julie","non-dropping-particle":"","parse-names":false,"suffix":""},{"dropping-particle":"","family":"Fromenty","given":"Bernard","non-dropping-particle":"","parse-names":false,"suffix":""}],"container-title":"Livers","id":"ITEM-1","issue":"1","issued":{"date-parts":[["2023"]]},"page":"33-53","title":"Acetaminophen-Induced Hepatotoxicity in Obesity and Nonalcoholic Fatty Liver Disease: A Critical Review","type":"article-journal","volume":"3"},"uris":["http://www.mendeley.com/documents/?uuid=3a9c6086-8cc8-4f17-b33f-c1f092546c1a"]}],"mendeley":{"formattedCitation":"(Begriche et al., 2023)","plainTextFormattedCitation":"(Begriche et al., 2023)","previouslyFormattedCitation":"(Begriche et al., 2023)"},"properties":{"noteIndex":0},"schema":"https://github.com/citation-style-language/schema/raw/master/csl-citation.json"}</w:instrText>
      </w:r>
      <w:r w:rsidRPr="001E0F58">
        <w:rPr>
          <w:rFonts w:eastAsia="Calibri"/>
          <w:lang w:eastAsia="en-US"/>
        </w:rPr>
        <w:fldChar w:fldCharType="separate"/>
      </w:r>
      <w:r w:rsidRPr="001E0F58">
        <w:rPr>
          <w:rFonts w:eastAsia="Calibri"/>
          <w:noProof/>
          <w:lang w:eastAsia="en-US"/>
        </w:rPr>
        <w:t>(Begriche et al., 2023)</w:t>
      </w:r>
      <w:r w:rsidRPr="001E0F58">
        <w:rPr>
          <w:rFonts w:eastAsia="Calibri"/>
          <w:lang w:eastAsia="en-US"/>
        </w:rPr>
        <w:fldChar w:fldCharType="end"/>
      </w:r>
      <w:r w:rsidRPr="001E0F58">
        <w:rPr>
          <w:rFonts w:eastAsia="Calibri"/>
          <w:lang w:eastAsia="en-US"/>
        </w:rPr>
        <w:t>.</w:t>
      </w:r>
    </w:p>
    <w:p w14:paraId="0F95C2EF" w14:textId="77777777" w:rsidR="00C128B2" w:rsidRDefault="00C128B2" w:rsidP="00C128B2">
      <w:pPr>
        <w:suppressAutoHyphens w:val="0"/>
        <w:autoSpaceDE w:val="0"/>
        <w:autoSpaceDN w:val="0"/>
        <w:adjustRightInd w:val="0"/>
        <w:ind w:firstLine="567"/>
        <w:jc w:val="both"/>
        <w:rPr>
          <w:rFonts w:eastAsia="Calibri"/>
          <w:lang w:eastAsia="en-US"/>
        </w:rPr>
      </w:pPr>
      <w:r>
        <w:rPr>
          <w:rFonts w:eastAsia="Calibri"/>
          <w:lang w:eastAsia="en-US"/>
        </w:rPr>
        <w:t>T</w:t>
      </w:r>
      <w:r w:rsidRPr="00A61C08">
        <w:rPr>
          <w:rFonts w:eastAsia="Calibri"/>
          <w:lang w:eastAsia="en-US"/>
        </w:rPr>
        <w:t>he increase in AST and leukocyte counts reflects acute cellular rupture and the immediate systemic inflammatory response, alterations in lipid profiles, such as hypercholesterolemia or hypertriglyceridemia, seemingly require more chronic exposure or a more profound disruption. In acute settings, the liver may still maintain its capacity to regulate lipid homeostasis, or the duration of the study may not have been sufficient to manifest significant dyslipidemia</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{"citationItems":[{"id":"ITEM-1","itemData":{"DOI":"10.1016/j.endmts.2025.100272","ISSN":"26663961","abstract":"Background: Dyslipidemia is associated with several health complications that put a heavy burden on the healthcare system and society due to its adverse outcomes. Abnormal lipid profile is known to cause complications in hepatic systems. The aim of this study was to examine the associations of elevated liver enzymes with dyslipidemia and its components in the Prospective Epidemiological Research Studies (PERSIAN) Guilan Cohort study (PGCS) population. Methods: This cross-sectional study was conducted on data from 10,520 participants in PGCS, Guilan province, Iran. The demographic data and clinical characteristics of the participants were recorded. Lipid profile of the participants, including total cholesterol (Chol), triglycerides (TG), low-density lipoprotein cholesterol (LDL), and high-density lipoprotein cholesterol (HDL); and liver enzymes levels including alanine and aspartate aminotransferase (ALT, AST), γ-glutamyltransferase (GGT) and alkaline phosphatase (ALP) were measured. Statistical analyses were performed using SPSS version 16 based on a significant level &lt; 0.05. Results: Of 10,520 participants, 53.6 % (n = 5633) were female, and 36.6 % were aged 45–54. The mean BMI of the participants was 28.14 kg/m2. The prevalence of alcohol consumption, fatty liver disease, hepatitis, lipid-lowering medication use, and hepatotoxic drug use were 13.3 %, 0.6 %, 0.3 %, 15.1 %, and 16.5 %, respectively. Abnormal levels of Chol, TG, LDL, HDL, ALT, AST, GGT, and ALP were reported in 40.3 %, 43.1 %, 29.0 %,41.5 %, 19.4 %, 4.6 %, 11.6 %, and 5.1 % individuals, respectively. Dyslipidemia significantly increased the likelihood of elevated ALT, AST, and GGT (P &lt; 0.05), but showed no statistically significant association with elevated ALP (P &gt; 0.05). High Chol, TG, and LDL were strongly associated with elevated liver enzymes, particularly ALT and GGT, while low HDL was less impactful. Conclusion: These results underscore the significant impact of lipid abnormalities on liver function tests, especially for ALT and GGT.","author":[{"dropping-particle":"","family":"Shahdkar","given":"Milad","non-dropping-particle":"","parse-names":false,"suffix":""},{"dropping-particle":"","family":"Orang Goorabzarmakhi","given":"Mahdi","non-dropping-particle":"","parse-names":false,"suffix":""},{"dropping-particle":"","family":"Shafizadeh","given":"Mahdi","non-dropping-particle":"","parse-names":false,"suffix":""},{"dropping-particle":"","family":"Joukar","given":"Farahnaz","non-dropping-particle":"","parse-names":false,"suffix":""},{"dropping-particle":"","family":"Maroufizadeh","given":"Saman","non-dropping-particle":"","parse-names":false,"suffix":""},{"dropping-particle":"","family":"Faraji","given":"Niloofar","non-dropping-particle":"","parse-names":false,"suffix":""},{"dropping-particle":"","family":"Zeinali","given":"Tahereh","non-dropping-particle":"","parse-names":false,"suffix":""},{"dropping-particle":"","family":"Mansour-Ghanaei","given":"Fariborz","non-dropping-particle":"","parse-names":false,"suffix":""}],"container-title":"Endocrine and Metabolic Science","id":"ITEM-1","issue":"July","issued":{"date-parts":[["2025"]]},"page":"100272","publisher":"Elsevier Ltd","title":"Association between dyslipidemia and elevated liver enzymes: A cross-sectional study from the PERSIAN Guilan cohort study","type":"article-journal","volume":"19"},"uris":["http://www.mendeley.com/documents/?uuid=523a9762-4ca6-4178-bafc-c8c7edfa8827"]},{"id":"ITEM-2","itemData":{"DOI":"10.3390/nu15183899","ISSN":"20726643","abstract":"Lipid metabolism plays a major role in the regulation of the immune system. Exogenous (dietary and microbial-derived) and endogenous (non-microbial-derived) lipids play a direct role in regulating immune cell activation, differentiation and expansion, and inflammatory phenotypes. Understanding the complexities of lipid–immune interactions may have important implications for human health, as certain lipids or immune pathways may be beneficial in circumstances of acute infection yet detrimental in chronic inflammatory diseases. Further, there are key differences in the lipid effects between specific immune cell types and location (e.g., gut mucosal vs. systemic immune cells), suggesting that the immunomodulatory properties of lipids may be tissue-compartment-specific, although the direct effect of dietary lipids on the mucosal immune system warrants further investigation. Importantly, there is recent evidence to suggest that lipid–immune interactions are dependent on sex, metabolic status, and the gut microbiome in preclinical models. While the lipid–immune relationship has not been adequately established in/translated to humans, research is warranted to evaluate the differences in lipid–immune interactions across individuals and whether the optimization of lipid–immune interactions requires precision nutrition approaches to mitigate or manage disease. In this review, we discuss the mechanisms by which lipids regulate immune responses and the influence of dietary lipids on these processes, highlighting compelling areas for future research.","author":[{"dropping-particle":"","family":"Garcia","given":"Chelsea","non-dropping-particle":"","parse-names":false,"suffix":""},{"dropping-particle":"","family":"Andersen","given":"Catherine J.","non-dropping-particle":"","parse-names":false,"suffix":""},{"dropping-particle":"","family":"Blesso","given":"Christopher N.","non-dropping-particle":"","parse-names":false,"suffix":""}],"container-title":"Nutrients","id":"ITEM-2","issue":"18","issued":{"date-parts":[["2023"]]},"title":"The Role of Lipids in the Regulation of Immune Responses","type":"article-journal","volume":"15"},"uris":["http://www.mendeley.com/documents/?uuid=9d528245-03ae-40ce-929d-baff3c184260"]},{"id":"ITEM-3","itemData":{"DOI":"10.3390/ijms24097898","ISSN":"14220067","PMID":"37175603","abstract":"Metabolic syndrome is a cluster of conditions associated with the risk of diabetes mellitus type 2 and cardiovascular diseases (CVDs). Metabolic syndrome is closely related to obesity. Increased adiposity promotes inflammation and oxidative stress, which are precursors of various complications involving metabolic syndrome components, namely insulin resistance, hypertension, and hyperlipidemia. An increasing number of studies confirm the importance of oxidative stress and chronic inflammation in the etiology of metabolic syndrome. However, few studies have reviewed the mechanisms underlying the role of oxidative stress in contributing to metabolic syndrome. In this review, we highlight mechanisms by which reactive oxygen species (ROS) increase mitochondrial dysfunction, protein damage, lipid peroxidation, and impair antioxidant function in metabolic syndrome. Biomarkers of oxidative stress can be used in disease diagnosis and evaluation of severity.","author":[{"dropping-particle":"","family":"Masenga","given":"Sepiso K.","non-dropping-particle":"","parse-names":false,"suffix":""},{"dropping-particle":"","family":"Kabwe","given":"Lombe S.","non-dropping-particle":"","parse-names":false,"suffix":""},{"dropping-particle":"","family":"Chakulya","given":"Martin","non-dropping-particle":"","parse-names":false,"suffix":""},{"dropping-particle":"","family":"Kirabo","given":"Annet","non-dropping-particle":"","parse-names":false,"suffix":""}],"container-title":"International Journal of Molecular Sciences","id":"ITEM-3","issue":"9","issued":{"date-parts":[["2023"]]},"title":"Mechanisms of Oxidative Stress in Metabolic Syndrome","type":"article-journal","volume":"24"},"uris":["http://www.mendeley.com/documents/?uuid=8beedc27-3139-4f2e-94ba-76df5b1263e9"]}],"mendeley":{"formattedCitation":"(Garcia et al., 2023; Masenga et al., 2023; Shahdkar et al., 2025)","plainTextFormattedCitation":"(Garcia et al., 2023; Masenga et al., 2023; Shahdkar et al., 2025)","previouslyFormattedCitation":"(Garcia et al., 2023; Masenga et al., 2023; Shahdkar et al., 2025)"},"properties":{"noteIndex":0},"schema":"https://github.com/citation-style-language/schema/raw/master/csl-citation.json"}</w:instrText>
      </w:r>
      <w:r>
        <w:rPr>
          <w:rFonts w:eastAsia="Calibri"/>
          <w:lang w:eastAsia="en-US"/>
        </w:rPr>
        <w:fldChar w:fldCharType="separate"/>
      </w:r>
      <w:r w:rsidRPr="00A61C08">
        <w:rPr>
          <w:rFonts w:eastAsia="Calibri"/>
          <w:noProof/>
          <w:lang w:eastAsia="en-US"/>
        </w:rPr>
        <w:t>(Garcia et al., 2023; Masenga et al., 2023; Shahdkar et al., 2025)</w:t>
      </w:r>
      <w:r>
        <w:rPr>
          <w:rFonts w:eastAsia="Calibri"/>
          <w:lang w:eastAsia="en-US"/>
        </w:rPr>
        <w:fldChar w:fldCharType="end"/>
      </w:r>
      <w:r>
        <w:rPr>
          <w:rFonts w:eastAsia="Calibri"/>
          <w:lang w:eastAsia="en-US"/>
        </w:rPr>
        <w:t>.</w:t>
      </w:r>
    </w:p>
    <w:p w14:paraId="7F640F3B" w14:textId="77777777" w:rsidR="00C128B2" w:rsidRDefault="00C128B2" w:rsidP="00C128B2">
      <w:pPr>
        <w:suppressAutoHyphens w:val="0"/>
        <w:autoSpaceDE w:val="0"/>
        <w:autoSpaceDN w:val="0"/>
        <w:adjustRightInd w:val="0"/>
        <w:ind w:firstLine="567"/>
        <w:jc w:val="both"/>
        <w:rPr>
          <w:rFonts w:eastAsia="Calibri"/>
          <w:lang w:eastAsia="en-US"/>
        </w:rPr>
      </w:pPr>
      <w:r w:rsidRPr="00E3747F">
        <w:rPr>
          <w:rFonts w:eastAsia="Calibri"/>
          <w:lang w:eastAsia="en-US"/>
        </w:rPr>
        <w:t xml:space="preserve">Green tea leaves mainly contain polyphenols, amino acids, </w:t>
      </w:r>
      <w:r>
        <w:rPr>
          <w:rFonts w:eastAsia="Calibri"/>
          <w:lang w:eastAsia="en-US"/>
        </w:rPr>
        <w:t>L-theanine</w:t>
      </w:r>
      <w:r w:rsidRPr="00E3747F">
        <w:rPr>
          <w:rFonts w:eastAsia="Calibri"/>
          <w:lang w:eastAsia="en-US"/>
        </w:rPr>
        <w:t>, caffeine, and organic acids. Polyphenols are the main active compounds found in tea. Catechins are the main polyphenol compounds in green tea, which include epigallocatechin-3-gallate (EGCG), epigallocatechin, epicatechin-3-gallate and epicatechin, gallocatechins and gallocatechin gallate</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{"citationItems":[{"id":"ITEM-1","itemData":{"DOI":"10.1016/j.foodres.2019.108782","ISSN":"18737145","PMID":"31955755","abstract":"UPLC-QTOF-MSE phenolic profile of kombuchas produced from the fermentation of green tea or black tea at 25 °C for 10 days was investigated along with the determination of their antioxidant capacities, antibacterial and antiproliferative activities. Overall, 127 phenolic compounds (70.2% flavonoids, 18.3% phenolic acids, 8.4% other polyphenols, 2.3% lignans and 0.8% stilbenes) were identified, with 103 phenolic compounds reported for the first time in kombuchas. A greater diversity and abundance of phenolic compounds was detected in black tea kombucha, which resulted in a higher antioxidant capacity. However, the green tea kombucha was the only one that presented antibacterial activity against all the bacteria tested and an increased antiproliferative activity against the cancer cell lines, which was attributed to the presence of catechins among the most abundant phenolic compounds and verbascoside as an exclusive compound. Thus, the type of tea used in the kombucha production interferes in its bioactive composition and properties.","author":[{"dropping-particle":"","family":"Cardoso","given":"Rodrigo Rezende","non-dropping-particle":"","parse-names":false,"suffix":""},{"dropping-particle":"","family":"Neto","given":"Rafaela Oliveira","non-dropping-particle":"","parse-names":false,"suffix":""},{"dropping-particle":"","family":"Santos D'Almeida","given":"Carolina Thomaz","non-dropping-particle":"dos","parse-names":false,"suffix":""},{"dropping-particle":"","family":"Nascimento","given":"Talita Pimenta","non-dropping-particle":"do","parse-names":false,"suffix":""},{"dropping-particle":"","family":"Pressete","given":"Carolina Girotto","non-dropping-particle":"","parse-names":false,"suffix":""},{"dropping-particle":"","family":"Azevedo","given":"Luciana","non-dropping-particle":"","parse-names":false,"suffix":""},{"dropping-particle":"","family":"Martino","given":"Hercia Stampini Duarte","non-dropping-particle":"","parse-names":false,"suffix":""},{"dropping-particle":"","family":"Cameron","given":"Luiz Claudio","non-dropping-particle":"","parse-names":false,"suffix":""},{"dropping-particle":"","family":"Ferreira","given":"Mariana Simões Larraz","non-dropping-particle":"","parse-names":false,"suffix":""},{"dropping-particle":"de","family":"Barros","given":"Frederico Augusto Ribeiro","non-dropping-particle":"","parse-names":false,"suffix":""}],"container-title":"Food Research International","id":"ITEM-1","issue":"October 2019","issued":{"date-parts":[["2020"]]},"page":"108782","publisher":"Elsevier","title":"Kombuchas from green and black teas have different phenolic profile, which impacts their antioxidant capacities, antibacterial and antiproliferative activities","type":"article-journal","volume":"128"},"uris":["http://www.mendeley.com/documents/?uuid=293cd624-0f1e-4c03-b0ab-a9580a896d6f"]}],"mendeley":{"formattedCitation":"(Cardoso et al., 2020)","plainTextFormattedCitation":"(Cardoso et al., 2020)","previouslyFormattedCitation":"(Cardoso et al., 2020)"},"properties":{"noteIndex":0},"schema":"https://github.com/citation-style-language/schema/raw/master/csl-citation.json"}</w:instrText>
      </w:r>
      <w:r>
        <w:rPr>
          <w:rFonts w:eastAsia="Calibri"/>
          <w:lang w:eastAsia="en-US"/>
        </w:rPr>
        <w:fldChar w:fldCharType="separate"/>
      </w:r>
      <w:r w:rsidRPr="00EC79AF">
        <w:rPr>
          <w:rFonts w:eastAsia="Calibri"/>
          <w:noProof/>
          <w:lang w:eastAsia="en-US"/>
        </w:rPr>
        <w:t>(Cardoso et al., 2020)</w:t>
      </w:r>
      <w:r>
        <w:rPr>
          <w:rFonts w:eastAsia="Calibri"/>
          <w:lang w:eastAsia="en-US"/>
        </w:rPr>
        <w:fldChar w:fldCharType="end"/>
      </w:r>
      <w:r w:rsidRPr="00E3747F">
        <w:rPr>
          <w:rFonts w:eastAsia="Calibri"/>
          <w:lang w:eastAsia="en-US"/>
        </w:rPr>
        <w:t xml:space="preserve">. Catechin can act as an anti-inflammatory by suppressing the expression of COX-2 transcription process so that the inflammatory process is inhibited </w:t>
      </w:r>
      <w:r>
        <w:rPr>
          <w:rFonts w:eastAsia="Calibri"/>
          <w:lang w:eastAsia="en-US"/>
        </w:rPr>
        <w:fldChar w:fldCharType="begin" w:fldLock="1"/>
      </w:r>
      <w:r>
        <w:rPr>
          <w:rFonts w:eastAsia="Calibri"/>
          <w:lang w:eastAsia="en-US"/>
        </w:rPr>
        <w:instrText>ADDIN CSL_CITATION {"citationItems":[{"id":"ITEM-1","itemData":{"DOI":"10.1155/2020/1303524","ISSN":"17414288","abstract":"As the spectrum of diseases keeps changing and life pace keeps going faster, the probability and frequency of diseases caused by human inflammatory reactions also keep increasing. How to develop effective anti-inflammatory drugs has become the hotspot of researches. It has been found that alkaloids from Chinese medical herbs have anti-inflammatory, analgesic, antitumor, anticonvulsant, diuretic, and antiarrhythmic effects, among which the anti-inflammatory effect is very prominent and commonly used in the treatment of rheumatoid arthritis, ankylosing spondylitis, and other rheumatic immune diseases, but its mechanism of action has not been well explained. Based on this, this paper will classify alkaloids according to structural types and review the plant sources, applicable diseases, and anti-inflammatory mechanisms of 16 kinds of alkaloids commonly used in clinical treatment, such as berberine, tetrandrine, and stephanine, with the aim of providing a reference for drug researches and clinical applications.","author":[{"dropping-particle":"","family":"Li","given":"Sicong","non-dropping-particle":"","parse-names":false,"suffix":""},{"dropping-particle":"","family":"Liu","given":"Xin","non-dropping-particle":"","parse-names":false,"suffix":""},{"dropping-particle":"","family":"Chen","given":"Xiaoran","non-dropping-particle":"","parse-names":false,"suffix":""},{"dropping-particle":"","family":"Bi","given":"Lei","non-dropping-particle":"","parse-names":false,"suffix":""}],"container-title":"Evidence-based Complementary and Alternative Medicine","id":"ITEM-1","issued":{"date-parts":[["2020"]]},"page":"1-10","title":"Research Progress on Anti-Inflammatory Effects and Mechanisms of Alkaloids from Chinese Medical Herbs","type":"article-journal"},"uris":["http://www.mendeley.com/documents/?uuid=52409085-c699-4403-86f1-df1e0f19c1d1"]}],"mendeley":{"formattedCitation":"(S. Li et al., 2020)","plainTextFormattedCitation":"(S. Li et al., 2020)","previouslyFormattedCitation":"(S. Li et al., 2020)"},"properties":{"noteIndex":0},"schema":"https://github.com/citation-style-language/schema/raw/master/csl-citation.json"}</w:instrText>
      </w:r>
      <w:r>
        <w:rPr>
          <w:rFonts w:eastAsia="Calibri"/>
          <w:lang w:eastAsia="en-US"/>
        </w:rPr>
        <w:fldChar w:fldCharType="separate"/>
      </w:r>
      <w:r w:rsidRPr="00915633">
        <w:rPr>
          <w:rFonts w:eastAsia="Calibri"/>
          <w:noProof/>
          <w:lang w:eastAsia="en-US"/>
        </w:rPr>
        <w:t>(S. Li et al., 2020)</w:t>
      </w:r>
      <w:r>
        <w:rPr>
          <w:rFonts w:eastAsia="Calibri"/>
          <w:lang w:eastAsia="en-US"/>
        </w:rPr>
        <w:fldChar w:fldCharType="end"/>
      </w:r>
      <w:r w:rsidRPr="00E3747F">
        <w:rPr>
          <w:rFonts w:eastAsia="Calibri"/>
          <w:lang w:eastAsia="en-US"/>
        </w:rPr>
        <w:t xml:space="preserve">. In addition, Li et al </w:t>
      </w:r>
      <w:r>
        <w:rPr>
          <w:rFonts w:eastAsia="Calibri"/>
          <w:lang w:eastAsia="en-US"/>
        </w:rPr>
        <w:fldChar w:fldCharType="begin" w:fldLock="1"/>
      </w:r>
      <w:r>
        <w:rPr>
          <w:rFonts w:eastAsia="Calibri"/>
          <w:lang w:eastAsia="en-US"/>
        </w:rPr>
        <w:instrText>ADDIN CSL_CITATION {"citationItems":[{"id":"ITEM-1","itemData":{"DOI":"10.1155/2020/1303524","ISSN":"17414288","abstract":"As the spectrum of diseases keeps changing and life pace keeps going faster, the probability and frequency of diseases caused by human inflammatory reactions also keep increasing. How to develop effective anti-inflammatory drugs has become the hotspot of researches. It has been found that alkaloids from Chinese medical herbs have anti-inflammatory, analgesic, antitumor, anticonvulsant, diuretic, and antiarrhythmic effects, among which the anti-inflammatory effect is very prominent and commonly used in the treatment of rheumatoid arthritis, ankylosing spondylitis, and other rheumatic immune diseases, but its mechanism of action has not been well explained. Based on this, this paper will classify alkaloids according to structural types and review the plant sources, applicable diseases, and anti-inflammatory mechanisms of 16 kinds of alkaloids commonly used in clinical treatment, such as berberine, tetrandrine, and stephanine, with the aim of providing a reference for drug researches and clinical applications.","author":[{"dropping-particle":"","family":"Li","given":"Sicong","non-dropping-particle":"","parse-names":false,"suffix":""},{"dropping-particle":"","family":"Liu","given":"Xin","non-dropping-particle":"","parse-names":false,"suffix":""},{"dropping-particle":"","family":"Chen","given":"Xiaoran","non-dropping-particle":"","parse-names":false,"suffix":""},{"dropping-particle":"","family":"Bi","given":"Lei","non-dropping-particle":"","parse-names":false,"suffix":""}],"container-title":"Evidence-based Complementary and Alternative Medicine","id":"ITEM-1","issued":{"date-parts":[["2020"]]},"page":"1-10","title":"Research Progress on Anti-Inflammatory Effects and Mechanisms of Alkaloids from Chinese Medical Herbs","type":"article-journal"},"suppress-author":1,"uris":["http://www.mendeley.com/documents/?uuid=52409085-c699-4403-86f1-df1e0f19c1d1"]}],"mendeley":{"formattedCitation":"(2020)","plainTextFormattedCitation":"(2020)","previouslyFormattedCitation":"(2020)"},"properties":{"noteIndex":0},"schema":"https://github.com/citation-style-language/schema/raw/master/csl-citation.json"}</w:instrText>
      </w:r>
      <w:r>
        <w:rPr>
          <w:rFonts w:eastAsia="Calibri"/>
          <w:lang w:eastAsia="en-US"/>
        </w:rPr>
        <w:fldChar w:fldCharType="separate"/>
      </w:r>
      <w:r w:rsidRPr="00DE0888">
        <w:rPr>
          <w:rFonts w:eastAsia="Calibri"/>
          <w:noProof/>
          <w:lang w:eastAsia="en-US"/>
        </w:rPr>
        <w:t>(2020)</w:t>
      </w:r>
      <w:r>
        <w:rPr>
          <w:rFonts w:eastAsia="Calibri"/>
          <w:lang w:eastAsia="en-US"/>
        </w:rPr>
        <w:fldChar w:fldCharType="end"/>
      </w:r>
      <w:r w:rsidRPr="00E3747F">
        <w:rPr>
          <w:rFonts w:eastAsia="Calibri"/>
          <w:lang w:eastAsia="en-US"/>
        </w:rPr>
        <w:t xml:space="preserve"> stated that alkaloids </w:t>
      </w:r>
      <w:r w:rsidRPr="00E3747F">
        <w:rPr>
          <w:rFonts w:eastAsia="Calibri"/>
          <w:lang w:eastAsia="en-US"/>
        </w:rPr>
        <w:lastRenderedPageBreak/>
        <w:t>play a role in inhibiting the COX-2 pathway, iNOS (nitric oxide synthase) and NF-kB activation so that the release of TNF-α and cytokines IL-1, IL-2, IL-6, IL-8 is inhibited.</w:t>
      </w:r>
    </w:p>
    <w:p w14:paraId="3CA9446B" w14:textId="77777777" w:rsidR="00C128B2" w:rsidRDefault="00C128B2" w:rsidP="00C128B2">
      <w:pPr>
        <w:suppressAutoHyphens w:val="0"/>
        <w:autoSpaceDE w:val="0"/>
        <w:autoSpaceDN w:val="0"/>
        <w:adjustRightInd w:val="0"/>
        <w:ind w:firstLine="567"/>
        <w:jc w:val="both"/>
        <w:rPr>
          <w:rFonts w:eastAsia="Calibri"/>
          <w:lang w:eastAsia="en-US"/>
        </w:rPr>
      </w:pPr>
      <w:r>
        <w:rPr>
          <w:rFonts w:eastAsia="Calibri"/>
          <w:lang w:eastAsia="en-US"/>
        </w:rPr>
        <w:t>L-t</w:t>
      </w:r>
      <w:r w:rsidRPr="00DE0888">
        <w:rPr>
          <w:rFonts w:eastAsia="Calibri"/>
          <w:lang w:eastAsia="en-US"/>
        </w:rPr>
        <w:t>heanine in tea will be hydrolyzed into glutamic acid and ethylamine with glutamate acting as a precursor for glutathione (GSH) synthesis</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{"citationItems":[{"id":"ITEM-1","itemData":{"DOI":"10.3390/plants14030492","ISSN":"22237747","abstract":"L-theanine, a unique non-protein amino acid predominantly found in tea plants (Camellia sinensis), plays a pivotal role in plant responses to abiotic stress and significantly influences tea quality. In this review, the metabolism and transport mechanisms of L-theanine are comprehensively discussed, highlighting its spatial distribution in tea plants, where it is most abundant in young leaves and less so in roots, stems, and older leaves. The biosynthesis of L-theanine occurs through the enzymatic conversion of glutamate and ethylamine, catalyzed by theanine synthase, primarily in the roots, from where it is transported to aerial parts of the plant for further catabolism. Environmental factors such as temperature, light, drought, elevated CO2, nutrient unavailability, and heavy metals significantly affect theanine biosynthesis and hydrolysis, with plant hormones and transcription factors playing crucial regulatory roles. Furthermore, it has been demonstrated that applying L-theanine exogenously improves other crops’ resistance to a range of abiotic stresses, suggesting its potential utility in improving crop resilience amid climate change. This review aims to elucidate the physiological mechanisms and biological functions of L-theanine metabolism under stress conditions, providing a theoretical foundation for enhancing tea quality and stress resistance in tea cultivation.","author":[{"dropping-particle":"","family":"Wang","given":"Qianying","non-dropping-particle":"","parse-names":false,"suffix":""},{"dropping-particle":"","family":"Yu","given":"Jingbo","non-dropping-particle":"","parse-names":false,"suffix":""},{"dropping-particle":"","family":"Lin","given":"Wenchao","non-dropping-particle":"","parse-names":false,"suffix":""},{"dropping-particle":"","family":"Ahammed","given":"Golam Jalal","non-dropping-particle":"","parse-names":false,"suffix":""},{"dropping-particle":"","family":"Wang","given":"Wenli","non-dropping-particle":"","parse-names":false,"suffix":""},{"dropping-particle":"","family":"Ma","given":"Ruihong","non-dropping-particle":"","parse-names":false,"suffix":""},{"dropping-particle":"","family":"Shi","given":"Mengyao","non-dropping-particle":"","parse-names":false,"suffix":""},{"dropping-particle":"","family":"Ge","given":"Shibei","non-dropping-particle":"","parse-names":false,"suffix":""},{"dropping-particle":"","family":"Mohamed","given":"Ahmed S.","non-dropping-particle":"","parse-names":false,"suffix":""},{"dropping-particle":"","family":"Wang","given":"Liyuan","non-dropping-particle":"","parse-names":false,"suffix":""},{"dropping-particle":"","family":"Li","given":"Qingyun","non-dropping-particle":"","parse-names":false,"suffix":""},{"dropping-particle":"","family":"Li","given":"Xin","non-dropping-particle":"","parse-names":false,"suffix":""}],"container-title":"Plants","id":"ITEM-1","issue":"3","issued":{"date-parts":[["2025"]]},"title":"L-Theanine Metabolism in Tea Plants: Biological Functions and Stress Tolerance Mechanisms","type":"article-journal","volume":"14"},"uris":["http://www.mendeley.com/documents/?uuid=fdad5a53-56ae-4c06-8f14-10f13b98bf9c"]},{"id":"ITEM-2","itemData":{"DOI":"10.1016/j.psj.2020.07.016","ISSN":"15253171","PMID":"33142480","abstract":"L-theanine (γ-Glutamylethylamide) is a nonprotein water soluble amino acid (AA) mostly found in leaves of Camellia sinensis (green tea). This is a key component of green tea and is considered as the most abundant form of total AAs in green tea (i.e., about 50%). L-theanine is an exclusive taste ingredient of tea producing an attractive flavor and aroma in tea. It has biological effects such as antioxidant, growth promoter, immune booster, anti-stresser, hepatoprotective, antitumor, antiaging, antimicrobial, anti-inflammatory, and antianxiety activities that are worth noticing. It could reduce the oxidative impairment by reducing the synthesis of reactive oxygen species, oxidative parameters, and lipid damage as well as increasing the activity of antioxidant enzymes. The oral ingestion of L-theanine enhanced γδ T-cell proliferation. Therefore, it is being considered an essential compound of green tea that has the ability to improve immune function. The L-theanine can be used as a potential treatment for hepatic injury and immune-related liver diseases via the downregulation of the inflammatory response through the initiation of nitric oxide synthesis and glutathione production which are likely to be critical for the control of hepatic diseases as well as for the improvement of immune function. In addition, it could be used as a best natural feed additive with a potent antistressor by decreasing the levels of corticosterone, dopamine, and noradrenaline. After systematically reviewing the literature, it is noticed that most studies were carried out on mice, pig, human, and butterfly; while dietary supplementation studies of L-theanine in animal and poultry especially among broilers are very limited because of less awareness of this AA. So, the aim of this review is to encourage the veterinarian and poultry researchers to conduct more research at the molecular level about this AA to expose its more beneficial effects and its mechanism of absorption for potential use of this unique green tea AA in poultry nutrition.","author":[{"dropping-particle":"","family":"Saeed","given":"Muhammad","non-dropping-particle":"","parse-names":false,"suffix":""},{"dropping-particle":"","family":"Khan","given":"Muhammad Sajjad","non-dropping-particle":"","parse-names":false,"suffix":""},{"dropping-particle":"","family":"Kamboh","given":"Asghar Ali","non-dropping-particle":"","parse-names":false,"suffix":""},{"dropping-particle":"","family":"Alagawany","given":"Mahmoud","non-dropping-particle":"","parse-names":false,"suffix":""},{"dropping-particle":"","family":"Khafaga","given":"Asmaa F.","non-dropping-particle":"","parse-names":false,"suffix":""},{"dropping-particle":"","family":"Noreldin","given":"Ahmed E.","non-dropping-particle":"","parse-names":false,"suffix":""},{"dropping-particle":"","family":"Qumar","given":"Muhammad","non-dropping-particle":"","parse-names":false,"suffix":""},{"dropping-particle":"","family":"Safdar","given":"Muhammad","non-dropping-particle":"","parse-names":false,"suffix":""},{"dropping-particle":"","family":"Hussain","given":"Mubashar","non-dropping-particle":"","parse-names":false,"suffix":""},{"dropping-particle":"","family":"Abd El-Hack","given":"Mohamed E.","non-dropping-particle":"","parse-names":false,"suffix":""},{"dropping-particle":"","family":"Chao","given":"Sun","non-dropping-particle":"","parse-names":false,"suffix":""}],"container-title":"Poultry Science","id":"ITEM-2","issue":"11","issued":{"date-parts":[["2020"]]},"page":"5625-5636","publisher":"Elsevier Inc.","title":"L-theanine: an astounding sui generis amino acid in poultry nutrition","type":"article-journal","volume":"99"},"uris":["http://www.mendeley.com/documents/?uuid=987fafe7-b910-45ab-bcce-d328ea593122"]}],"mendeley":{"formattedCitation":"(Saeed et al., 2020; Wang et al., 2025)","plainTextFormattedCitation":"(Saeed et al., 2020; Wang et al., 2025)","previouslyFormattedCitation":"(Saeed et al., 2020; Wang et al., 2025)"},"properties":{"noteIndex":0},"schema":"https://github.com/citation-style-language/schema/raw/master/csl-citation.json"}</w:instrText>
      </w:r>
      <w:r>
        <w:rPr>
          <w:rFonts w:eastAsia="Calibri"/>
          <w:lang w:eastAsia="en-US"/>
        </w:rPr>
        <w:fldChar w:fldCharType="separate"/>
      </w:r>
      <w:r w:rsidRPr="00112647">
        <w:rPr>
          <w:rFonts w:eastAsia="Calibri"/>
          <w:noProof/>
          <w:lang w:eastAsia="en-US"/>
        </w:rPr>
        <w:t>(Saeed et al., 2020; Wang et al., 2025)</w:t>
      </w:r>
      <w:r>
        <w:rPr>
          <w:rFonts w:eastAsia="Calibri"/>
          <w:lang w:eastAsia="en-US"/>
        </w:rPr>
        <w:fldChar w:fldCharType="end"/>
      </w:r>
      <w:r w:rsidRPr="00DE0888">
        <w:rPr>
          <w:rFonts w:eastAsia="Calibri"/>
          <w:lang w:eastAsia="en-US"/>
        </w:rPr>
        <w:t>. This confirms the research of</w:t>
      </w:r>
      <w:r>
        <w:rPr>
          <w:rFonts w:eastAsia="Calibri"/>
          <w:lang w:eastAsia="en-US"/>
        </w:rPr>
        <w:t xml:space="preserve"> </w:t>
      </w:r>
      <w:r w:rsidRPr="00DE0888">
        <w:rPr>
          <w:rFonts w:eastAsia="Calibri"/>
          <w:lang w:eastAsia="en-US"/>
        </w:rPr>
        <w:t>Xu et al.</w:t>
      </w:r>
      <w:r>
        <w:rPr>
          <w:rFonts w:eastAsia="Calibri"/>
          <w:lang w:eastAsia="en-US"/>
        </w:rPr>
        <w:t xml:space="preserve"> </w:t>
      </w:r>
      <w:r w:rsidRPr="00DE0888">
        <w:rPr>
          <w:rFonts w:eastAsia="Calibri"/>
          <w:lang w:eastAsia="en-US"/>
        </w:rPr>
        <w:t>that giving green tea extract for 7 days can significantly increase GSH</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{"citationItems":[{"id":"ITEM-1","itemData":{"DOI":"10.3390/antiox13121506","ISSN":"20763921","abstract":"Green tea catechins (GTCs) are a group of bioactive polyphenolic compounds found in fresh tea leaves (Camellia sinensis (L.) O. Kuntze). They have garnered significant attention due to their diverse health benefits and potential therapeutic applications, including as antioxidant and sunscreen agents. Human skin serves as the primary barrier against various external aggressors, including pathogens, pollutants, and harmful ultraviolet radiation (UVR). Skin aging is a complex biological process influenced by intrinsic factors such as genetics and hormonal changes, as well as extrinsic factors like environmental stressors, among which UVR plays a pivotal role in accelerating skin aging and contributing to various dermatological conditions. Research has demonstrated that GTCs possess potent antioxidant properties that help neutralize free radicals generated by oxidative stress. This action not only mitigates cellular damage but also supports the repair mechanisms inherent in human skin. Furthermore, GTCs exhibit anti-carcinogenic effects by inhibiting pathways involved in tumor promotion and progression. GTCs have been shown to exert anti-inflammatory effects through modulation of inflammatory signaling pathways. Chronic inflammation is known to contribute significantly to both premature aging and various dermatological diseases such as psoriasis or eczema. By regulating these pathways effectively, GTCs may alleviate symptoms associated with inflammatory conditions. GTCs can enhance wound healing processes by stimulating angiogenesis. They also facilitate DNA repair mechanisms within dermal fibroblasts exposed to damaging agents. The photoprotective properties attributed to GTCs further underscore their relevance in skincare formulations aimed at preventing sun-induced damage. Their ability to screen UV light helps shield underlying tissues from harmful rays. This review paper aims to comprehensively examine the beneficial effects of GTCs on skin health through an analysis encompassing in vivo and in vitro studies alongside insights into molecular mechanisms underpinning these effects. Such knowledge could pave the way for the development of innovative strategies focused on harnessing natural compounds like GTCs for improved skincare solutions tailored to combat environmental stresses faced by the human epidermis.","author":[{"dropping-particle":"","family":"Zheng","given":"Xin Qiang","non-dropping-particle":"","parse-names":false,"suffix":""},{"dropping-particle":"","family":"Zhang","given":"Xue Han","non-dropping-particle":"","parse-names":false,"suffix":""},{"dropping-particle":"","family":"Gao","given":"Han Qing","non-dropping-particle":"","parse-names":false,"suffix":""},{"dropping-particle":"","family":"Huang","given":"Lan Ying","non-dropping-particle":"","parse-names":false,"suffix":""},{"dropping-particle":"","family":"Ye","given":"Jing Jing","non-dropping-particle":"","parse-names":false,"suffix":""},{"dropping-particle":"","family":"Ye","given":"Jian Hui","non-dropping-particle":"","parse-names":false,"suffix":""},{"dropping-particle":"","family":"Lu","given":"Jian Liang","non-dropping-particle":"","parse-names":false,"suffix":""},{"dropping-particle":"","family":"Ma","given":"Shi Cheng","non-dropping-particle":"","parse-names":false,"suffix":""},{"dropping-particle":"","family":"Liang","given":"Yue Rong","non-dropping-particle":"","parse-names":false,"suffix":""}],"container-title":"Antioxidants","id":"ITEM-1","issue":"12","issued":{"date-parts":[["2024"]]},"title":"Green Tea Catechins and Skin Health","type":"article-journal","volume":"13"},"uris":["http://www.mendeley.com/documents/?uuid=31b2dc44-6e5b-4c54-a11b-cde7a9af7970"]}],"mendeley":{"formattedCitation":"(Zheng et al., 2024)","plainTextFormattedCitation":"(Zheng et al., 2024)","previouslyFormattedCitation":"(Zheng et al., 2024)"},"properties":{"noteIndex":0},"schema":"https://github.com/citation-style-language/schema/raw/master/csl-citation.json"}</w:instrText>
      </w:r>
      <w:r>
        <w:rPr>
          <w:rFonts w:eastAsia="Calibri"/>
          <w:lang w:eastAsia="en-US"/>
        </w:rPr>
        <w:fldChar w:fldCharType="separate"/>
      </w:r>
      <w:r w:rsidRPr="00EE431A">
        <w:rPr>
          <w:rFonts w:eastAsia="Calibri"/>
          <w:noProof/>
          <w:lang w:eastAsia="en-US"/>
        </w:rPr>
        <w:t>(Zheng et al., 2024)</w:t>
      </w:r>
      <w:r>
        <w:rPr>
          <w:rFonts w:eastAsia="Calibri"/>
          <w:lang w:eastAsia="en-US"/>
        </w:rPr>
        <w:fldChar w:fldCharType="end"/>
      </w:r>
      <w:r>
        <w:rPr>
          <w:rFonts w:eastAsia="Calibri"/>
          <w:lang w:eastAsia="en-US"/>
        </w:rPr>
        <w:t xml:space="preserve"> </w:t>
      </w:r>
      <w:r w:rsidRPr="00DE0888">
        <w:rPr>
          <w:rFonts w:eastAsia="Calibri"/>
          <w:lang w:eastAsia="en-US"/>
        </w:rPr>
        <w:t>. The decrease in AST enzyme levels in this study indicates that the antioxidant compounds in green tea extract prevent liver damage. This statement confirms the research of Riyani et al.</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{"citationItems":[{"id":"ITEM-1","itemData":{"abstract":"Background: Green Tea Leaves (Camellia sinensis, L) are widely used for various daily needs and have been widely researched and developed. Green tea contains active …","author":[{"dropping-particle":"","family":"Riyani","given":"Ani","non-dropping-particle":"","parse-names":false,"suffix":""},{"dropping-particle":"","family":"Firman Solihat","given":"M","non-dropping-particle":"","parse-names":false,"suffix":""},{"dropping-particle":"","family":"Rohdiana","given":"Dadan","non-dropping-particle":"","parse-names":false,"suffix":""}],"container-title":"International …","id":"ITEM-1","issue":"December","issued":{"date-parts":[["2021"]]},"page":"14-16","title":"HEPATOPROTECTOR ACTIVITY TEST OF GREEN TEA (Camellia sinensis, L) GAMBUNG VARIETY ETHANOL EXTRACT IN BALB/C MOUSE INDUCED WITH CCL4","type":"article-journal"},"suppress-author":1,"uris":["http://www.mendeley.com/documents/?uuid=9551d863-7828-48d3-8c11-31e7ea42f5b7"]}],"mendeley":{"formattedCitation":"(2021)","plainTextFormattedCitation":"(2021)","previouslyFormattedCitation":"(2021)"},"properties":{"noteIndex":0},"schema":"https://github.com/citation-style-language/schema/raw/master/csl-citation.json"}</w:instrText>
      </w:r>
      <w:r>
        <w:rPr>
          <w:rFonts w:eastAsia="Calibri"/>
          <w:lang w:eastAsia="en-US"/>
        </w:rPr>
        <w:fldChar w:fldCharType="separate"/>
      </w:r>
      <w:r w:rsidRPr="00F81811">
        <w:rPr>
          <w:rFonts w:eastAsia="Calibri"/>
          <w:noProof/>
          <w:lang w:eastAsia="en-US"/>
        </w:rPr>
        <w:t>(2021)</w:t>
      </w:r>
      <w:r>
        <w:rPr>
          <w:rFonts w:eastAsia="Calibri"/>
          <w:lang w:eastAsia="en-US"/>
        </w:rPr>
        <w:fldChar w:fldCharType="end"/>
      </w:r>
      <w:r w:rsidRPr="00DE0888">
        <w:rPr>
          <w:rFonts w:eastAsia="Calibri"/>
          <w:lang w:eastAsia="en-US"/>
        </w:rPr>
        <w:t xml:space="preserve"> that green tea extract can provide liver protection from AST, ALT enzyme analysis.</w:t>
      </w:r>
    </w:p>
    <w:p w14:paraId="44B28B9F" w14:textId="77777777" w:rsidR="00C128B2" w:rsidRDefault="00C128B2" w:rsidP="00C128B2">
      <w:pPr>
        <w:suppressAutoHyphens w:val="0"/>
        <w:autoSpaceDE w:val="0"/>
        <w:autoSpaceDN w:val="0"/>
        <w:adjustRightInd w:val="0"/>
        <w:ind w:firstLine="567"/>
        <w:jc w:val="both"/>
        <w:rPr>
          <w:rFonts w:eastAsia="Calibri"/>
          <w:lang w:eastAsia="en-US"/>
        </w:rPr>
      </w:pPr>
      <w:r w:rsidRPr="006A7CFC">
        <w:rPr>
          <w:rFonts w:eastAsia="Calibri"/>
          <w:lang w:eastAsia="en-US"/>
        </w:rPr>
        <w:t>The role of catechins in reducing total cholesterol levels is not only related to cholesterol synthesis, but also to cholesterol excretion. Catechins stimulate the 7α-hydrolase enzyme which increases the rate of conversion of cholesterol to bile acids</w:t>
      </w:r>
      <w:r>
        <w:rPr>
          <w:rFonts w:eastAsia="Calibri"/>
          <w:lang w:eastAsia="en-US"/>
        </w:rPr>
        <w:t xml:space="preserve"> </w:t>
      </w:r>
      <w:r>
        <w:rPr>
          <w:rFonts w:eastAsia="Calibri"/>
          <w:lang w:eastAsia="en-US"/>
        </w:rPr>
        <w:fldChar w:fldCharType="begin" w:fldLock="1"/>
      </w:r>
      <w:r>
        <w:rPr>
          <w:rFonts w:eastAsia="Calibri"/>
          <w:lang w:eastAsia="en-US"/>
        </w:rPr>
        <w:instrText>ADDIN CSL_CITATION {"citationItems":[{"id":"ITEM-1","itemData":{"DOI":"10.33761/jsm.v15i1.195","ISSN":"1978-8517","abstract":"Green Tea works as an anti-dyslipidemia due to chronic hyperglycemia of diabetes through its flavonoid content. The purpose of this study was to determine the effectiveness of green tea extracts on reducing the total cholesterol levels of alloxan-induced diabetes Wistar rats. The study design uses true experimental. Samples were 30 Wistar strain male white rats, aged 8-12 weeks, weighing ±200 grams. Green tea extract doses of 200, 400, and 800 mg/kg body weight, and negative controls were given alloxan, and positive controls were given simvastatin. The treatment group except the normal group was injected with a dose of 125 mg/kg alloxan intraperitoneally and a high-fat feed. After 3 days blood from the tail was measured glucose using a glucometer and cholesterol with a spectrophotometer λ=546 nm, giving green tea extract for 16 days orally, then re-measuring blood cholesterol from the tail. The One Way Anova Test results show the effectiveness of green tea extract on reducing total cholesterol (p=0,000). The results of the Post-Hoc Bonferroni test giving green tea extract at a dose of 400 mg/kg were comparable to simvastatin (p=0.453) which best decreased total cholesterol levels close to normal values.","author":[{"dropping-particle":"","family":"Sarel","given":"Zufarisky","non-dropping-particle":"","parse-names":false,"suffix":""},{"dropping-particle":"","family":"Simanjuntak","given":"Kristina","non-dropping-particle":"","parse-names":false,"suffix":""}],"container-title":"Jurnal Sehat Mandiri","id":"ITEM-1","issue":"1","issued":{"date-parts":[["2020"]]},"page":"98-111","title":"Pengaruh Pemberian Ekstrak Teh Hijau (Camellia sinensis L.) terhadap Penurunan Kadar Kolesterol Total Tikus Wistar (Rattus norvegicus) Diabetes Induksi Aloksan","type":"article-journal","volume":"15"},"uris":["http://www.mendeley.com/documents/?uuid=d3a808bc-03ea-4ed8-941d-8af48706f487"]}],"mendeley":{"formattedCitation":"(Sarel &amp; Simanjuntak, 2020)","plainTextFormattedCitation":"(Sarel &amp; Simanjuntak, 2020)","previouslyFormattedCitation":"(Sarel &amp; Simanjuntak, 2020)"},"properties":{"noteIndex":0},"schema":"https://github.com/citation-style-language/schema/raw/master/csl-citation.json"}</w:instrText>
      </w:r>
      <w:r>
        <w:rPr>
          <w:rFonts w:eastAsia="Calibri"/>
          <w:lang w:eastAsia="en-US"/>
        </w:rPr>
        <w:fldChar w:fldCharType="separate"/>
      </w:r>
      <w:r w:rsidRPr="006A7CFC">
        <w:rPr>
          <w:rFonts w:eastAsia="Calibri"/>
          <w:noProof/>
          <w:lang w:eastAsia="en-US"/>
        </w:rPr>
        <w:t>(Sarel &amp; Simanjuntak, 2020)</w:t>
      </w:r>
      <w:r>
        <w:rPr>
          <w:rFonts w:eastAsia="Calibri"/>
          <w:lang w:eastAsia="en-US"/>
        </w:rPr>
        <w:fldChar w:fldCharType="end"/>
      </w:r>
      <w:r w:rsidRPr="006A7CFC">
        <w:rPr>
          <w:rFonts w:eastAsia="Calibri"/>
          <w:lang w:eastAsia="en-US"/>
        </w:rPr>
        <w:t xml:space="preserve">. Catechin compounds also play a role in helping to reduce the expression of SREBP 1c (Sterol Regulatory Element Binding Protein-1c), FAS (Fatty Acid Synthase), and SCD1 (Stearoyl-CoA desaturase) where these genes and enzymes support the lipogenesis process </w:t>
      </w:r>
      <w:r>
        <w:rPr>
          <w:rFonts w:eastAsia="Calibri"/>
          <w:lang w:eastAsia="en-US"/>
        </w:rPr>
        <w:fldChar w:fldCharType="begin" w:fldLock="1"/>
      </w:r>
      <w:r>
        <w:rPr>
          <w:rFonts w:eastAsia="Calibri"/>
          <w:lang w:eastAsia="en-US"/>
        </w:rPr>
        <w:instrText>ADDIN CSL_CITATION {"citationItems":[{"id":"ITEM-1","itemData":{"abstract":"Introduction: Hyperlipidemia is a global health problem with the number of sufferers increasing every year. Globally, one-third of heart disease is caused by high cholesterol levels including LDL cholesterol. Overall, hypercholesterolemia is estimated to cause 2.6 million deaths. Green tea and black tea can be alternatives to traditional medicine. Some researches state that tea consumption is good for health. Green tea and black tea can be used as an alternative treatment in reducing LDL cholesterol levels in patients with hyperlipidemia. Method: This study is an in vivo experimental research. This experiment using 16 Rattus norvegicus rats Sprague Dawley strain induced into hyperlipidemia with lard and quail egg yolks before and divided into 2 groups; the green tea group and the black tea group. Interventions carried out for 17 days and checking the blood LDL cholesterol at the beginning and at the end of the intervention using Friedewald's formula with HDL, total cholesterol and triglycerides numbers from cholesterol test strip and tools from Lipid Pro. Data were collected and analyzed using the Shapiro-Wilk test, Wilcoxon Matched-Pair Signed-Ranks Test, Mann-Whitney U Test. Result: The results showed that the data were normally distributed (Shapiro-Wilk test p&gt;0.05). Intervention with green tea and black tea for 17 days led to a significant drop in LDL cholesterol levels (Wilcoxon Matched-Pair Signed-Ranks Test p&lt;0.05), but there is no significant difference between the effectiveness of the treatment group (Mann-Whitney U Test p&gt;0.05). Conclusion: There were no differences in effectiveness of green tea compared with black tea in lowering LDL cholesterol levels on hyperlipidemic Rattus norvegicus, but both green tea and black tea can lower rats' total cholesterol levels significantly.","author":[{"dropping-particle":"","family":"Tindage","given":"Dhany Pratama","non-dropping-particle":"","parse-names":false,"suffix":""},{"dropping-particle":"","family":"Dewi","given":"Rita","non-dropping-particle":"","parse-names":false,"suffix":""},{"dropping-particle":"","family":"Manalu","given":"Jojor L","non-dropping-particle":"","parse-names":false,"suffix":""},{"dropping-particle":"","family":"Kedokteran","given":"Fakultas","non-dropping-particle":"","parse-names":false,"suffix":""},{"dropping-particle":"","family":"Kesehatan","given":"Ilmu","non-dropping-particle":"","parse-names":false,"suffix":""}],"container-title":"Damianus Journal of Medicine","id":"ITEM-1","issue":"1","issued":{"date-parts":[["2021"]]},"page":"40-45","title":"Green Tea and Black Tea Can Lower the Levels of Ldl Cholesterol in Hyperlipidemic Animal Model","type":"article-journal","volume":"20"},"uris":["http://www.mendeley.com/documents/?uuid=4eb179a7-bb2f-4a7e-b006-4ffc67ca706d"]}],"mendeley":{"formattedCitation":"(Tindage et al., 2021)","plainTextFormattedCitation":"(Tindage et al., 2021)","previouslyFormattedCitation":"(Tindage et al., 2021)"},"properties":{"noteIndex":0},"schema":"https://github.com/citation-style-language/schema/raw/master/csl-citation.json"}</w:instrText>
      </w:r>
      <w:r>
        <w:rPr>
          <w:rFonts w:eastAsia="Calibri"/>
          <w:lang w:eastAsia="en-US"/>
        </w:rPr>
        <w:fldChar w:fldCharType="separate"/>
      </w:r>
      <w:r w:rsidRPr="006A7CFC">
        <w:rPr>
          <w:rFonts w:eastAsia="Calibri"/>
          <w:noProof/>
          <w:lang w:eastAsia="en-US"/>
        </w:rPr>
        <w:t>(Tindage et al., 2021)</w:t>
      </w:r>
      <w:r>
        <w:rPr>
          <w:rFonts w:eastAsia="Calibri"/>
          <w:lang w:eastAsia="en-US"/>
        </w:rPr>
        <w:fldChar w:fldCharType="end"/>
      </w:r>
      <w:r w:rsidRPr="006A7CFC">
        <w:rPr>
          <w:rFonts w:eastAsia="Calibri"/>
          <w:lang w:eastAsia="en-US"/>
        </w:rPr>
        <w:t>.</w:t>
      </w:r>
      <w:r>
        <w:rPr>
          <w:rFonts w:eastAsia="Calibri"/>
          <w:lang w:eastAsia="en-US"/>
        </w:rPr>
        <w:t xml:space="preserve"> </w:t>
      </w:r>
    </w:p>
    <w:p w14:paraId="10A328EF" w14:textId="77777777" w:rsidR="00C128B2" w:rsidRDefault="00C128B2" w:rsidP="00C128B2">
      <w:pPr>
        <w:suppressAutoHyphens w:val="0"/>
        <w:autoSpaceDE w:val="0"/>
        <w:autoSpaceDN w:val="0"/>
        <w:adjustRightInd w:val="0"/>
        <w:ind w:firstLine="567"/>
        <w:jc w:val="both"/>
        <w:rPr>
          <w:rFonts w:eastAsia="Calibri"/>
          <w:lang w:eastAsia="en-US"/>
        </w:rPr>
      </w:pPr>
      <w:r w:rsidRPr="006A115C">
        <w:rPr>
          <w:rFonts w:eastAsia="Calibri"/>
          <w:lang w:eastAsia="en-US"/>
        </w:rPr>
        <w:t>This study has certain limitations, including the absence of histopathological analysis to confirm the extent of tissue damage or regeneration visually, and a relatively short exposure period for paracetamol induction, which may not fully reflect chronic liver toxicity.</w:t>
      </w:r>
      <w:r>
        <w:rPr>
          <w:rFonts w:eastAsia="Calibri"/>
          <w:lang w:eastAsia="en-US"/>
        </w:rPr>
        <w:t xml:space="preserve"> F</w:t>
      </w:r>
      <w:r w:rsidRPr="006A115C">
        <w:rPr>
          <w:rFonts w:eastAsia="Calibri"/>
          <w:lang w:eastAsia="en-US"/>
        </w:rPr>
        <w:t>uture research is needed to optimize the dosage, extend the administration period, and include tissue-level analysis to fully establish the efficacy of paracetamol-induced injury and green tea across a wider range of metabolic and structural parameters</w:t>
      </w:r>
      <w:r>
        <w:rPr>
          <w:rFonts w:eastAsia="Calibri"/>
          <w:lang w:eastAsia="en-US"/>
        </w:rPr>
        <w:t>.</w:t>
      </w:r>
    </w:p>
    <w:p w14:paraId="4AF64D54" w14:textId="77777777" w:rsidR="00C76A74" w:rsidRDefault="00C76A74" w:rsidP="0031743A">
      <w:pPr>
        <w:jc w:val="both"/>
        <w:rPr>
          <w:b/>
          <w:bCs/>
        </w:rPr>
      </w:pPr>
    </w:p>
    <w:p w14:paraId="6E30A222" w14:textId="2E3BE614" w:rsidR="0031743A" w:rsidRPr="006C21A7" w:rsidRDefault="0031743A" w:rsidP="0031743A">
      <w:pPr>
        <w:jc w:val="both"/>
        <w:rPr>
          <w:b/>
          <w:bCs/>
        </w:rPr>
      </w:pPr>
      <w:r w:rsidRPr="006C21A7">
        <w:rPr>
          <w:b/>
          <w:bCs/>
        </w:rPr>
        <w:t>CONCLUSION</w:t>
      </w:r>
    </w:p>
    <w:p w14:paraId="5531C58B" w14:textId="766B6CB5" w:rsidR="00277E14" w:rsidRDefault="00C128B2" w:rsidP="00277E14">
      <w:pPr>
        <w:ind w:firstLine="567"/>
        <w:jc w:val="both"/>
      </w:pPr>
      <w:r w:rsidRPr="00C128B2">
        <w:t>The administration of green tea extract (GTE) demonstrated significant potential in preventing liver injury and systemic inflammation in paracetamol-induced Wistar rats. Specifically, GTE effectively suppressed the elevation of AST enzyme activity and restored the counts of leukocytes, neutrophils, and lymphocytes into normal ranges, indicating potent hepatoprotective and anti-inflammatory effects through the inhibition of oxidative stress. Nevertheless, further research is required to optimize dosage and duration to fully establish its efficacy across a broader range of metabolic parameters.</w:t>
      </w:r>
    </w:p>
    <w:p w14:paraId="4B139082" w14:textId="77777777" w:rsidR="00C128B2" w:rsidRDefault="00C128B2" w:rsidP="00277E14">
      <w:pPr>
        <w:ind w:firstLine="567"/>
        <w:jc w:val="both"/>
        <w:rPr>
          <w:iCs/>
          <w:lang w:val="en-ID"/>
        </w:rPr>
      </w:pPr>
    </w:p>
    <w:p w14:paraId="44EBD98A" w14:textId="77777777" w:rsidR="0031743A" w:rsidRDefault="0031743A" w:rsidP="0031743A">
      <w:pPr>
        <w:jc w:val="both"/>
        <w:rPr>
          <w:b/>
          <w:bCs/>
        </w:rPr>
      </w:pPr>
      <w:r w:rsidRPr="006C21A7">
        <w:rPr>
          <w:b/>
          <w:bCs/>
        </w:rPr>
        <w:t>ACKNOWLEDGEMENT</w:t>
      </w:r>
    </w:p>
    <w:p w14:paraId="68D86189" w14:textId="37D725C1" w:rsidR="008A0BC2" w:rsidRDefault="00C128B2" w:rsidP="008A0BC2">
      <w:pPr>
        <w:suppressAutoHyphens w:val="0"/>
        <w:autoSpaceDE w:val="0"/>
        <w:autoSpaceDN w:val="0"/>
        <w:adjustRightInd w:val="0"/>
        <w:ind w:firstLine="567"/>
        <w:jc w:val="both"/>
        <w:rPr>
          <w:lang w:val="en"/>
        </w:rPr>
      </w:pPr>
      <w:r w:rsidRPr="00C128B2">
        <w:rPr>
          <w:lang w:val="en"/>
        </w:rPr>
        <w:t xml:space="preserve">We extend our gratitude to PT. Rumpun Sari Medini for permission to collect tea leaf samples. </w:t>
      </w:r>
      <w:proofErr w:type="gramStart"/>
      <w:r w:rsidRPr="00C128B2">
        <w:rPr>
          <w:lang w:val="en"/>
        </w:rPr>
        <w:t>An</w:t>
      </w:r>
      <w:r>
        <w:rPr>
          <w:lang w:val="en"/>
        </w:rPr>
        <w:t xml:space="preserve"> </w:t>
      </w:r>
      <w:r w:rsidRPr="00C128B2">
        <w:rPr>
          <w:lang w:val="en"/>
        </w:rPr>
        <w:t>appreciation</w:t>
      </w:r>
      <w:proofErr w:type="gramEnd"/>
      <w:r w:rsidRPr="00C128B2">
        <w:rPr>
          <w:lang w:val="en"/>
        </w:rPr>
        <w:t xml:space="preserve"> also to all the research subjects who voluntarily participated in this study.</w:t>
      </w:r>
    </w:p>
    <w:p w14:paraId="1E4B8E67" w14:textId="77777777" w:rsidR="00C128B2" w:rsidRDefault="00C128B2" w:rsidP="008A0BC2">
      <w:pPr>
        <w:suppressAutoHyphens w:val="0"/>
        <w:autoSpaceDE w:val="0"/>
        <w:autoSpaceDN w:val="0"/>
        <w:adjustRightInd w:val="0"/>
        <w:ind w:firstLine="567"/>
        <w:jc w:val="both"/>
        <w:rPr>
          <w:b/>
          <w:bCs/>
        </w:rPr>
      </w:pPr>
    </w:p>
    <w:p w14:paraId="78A22A21" w14:textId="77777777" w:rsidR="000E325C" w:rsidRPr="000E325C" w:rsidRDefault="000E325C" w:rsidP="000E325C">
      <w:pPr>
        <w:jc w:val="both"/>
        <w:rPr>
          <w:b/>
          <w:bCs/>
        </w:rPr>
      </w:pPr>
      <w:r w:rsidRPr="000E325C">
        <w:rPr>
          <w:b/>
          <w:bCs/>
        </w:rPr>
        <w:t>CONFLICT OF INTERESTS</w:t>
      </w:r>
    </w:p>
    <w:p w14:paraId="11F024A4" w14:textId="5C06ABFA" w:rsidR="000E325C" w:rsidRDefault="000E325C" w:rsidP="000E325C">
      <w:pPr>
        <w:ind w:firstLine="567"/>
        <w:jc w:val="both"/>
      </w:pPr>
      <w:r w:rsidRPr="000E325C">
        <w:t>The author declares that there is no conflict of interest in this research.</w:t>
      </w:r>
    </w:p>
    <w:p w14:paraId="1B757EF3" w14:textId="77777777" w:rsidR="000E325C" w:rsidRDefault="000E325C" w:rsidP="000E325C">
      <w:pPr>
        <w:ind w:firstLine="567"/>
        <w:jc w:val="both"/>
        <w:rPr>
          <w:b/>
          <w:bCs/>
        </w:rPr>
      </w:pPr>
    </w:p>
    <w:p w14:paraId="48FF4CCE" w14:textId="174525AA" w:rsidR="00261AC0" w:rsidRDefault="00686571" w:rsidP="008A0BC2">
      <w:pPr>
        <w:jc w:val="both"/>
        <w:rPr>
          <w:b/>
          <w:bCs/>
        </w:rPr>
      </w:pPr>
      <w:r w:rsidRPr="006C21A7">
        <w:rPr>
          <w:b/>
          <w:bCs/>
        </w:rPr>
        <w:t>REFERENCE</w:t>
      </w:r>
      <w:r w:rsidR="006C21A7">
        <w:rPr>
          <w:b/>
          <w:bCs/>
        </w:rPr>
        <w:t>S</w:t>
      </w:r>
    </w:p>
    <w:p w14:paraId="27107C34" w14:textId="1693E4FF" w:rsidR="00C128B2" w:rsidRDefault="00C128B2" w:rsidP="00C128B2">
      <w:pPr>
        <w:widowControl w:val="0"/>
        <w:autoSpaceDE w:val="0"/>
        <w:autoSpaceDN w:val="0"/>
        <w:adjustRightInd w:val="0"/>
        <w:ind w:left="567" w:hanging="567"/>
        <w:jc w:val="both"/>
        <w:rPr>
          <w:noProof/>
        </w:rPr>
      </w:pPr>
      <w:r>
        <w:fldChar w:fldCharType="begin" w:fldLock="1"/>
      </w:r>
      <w:r>
        <w:instrText xml:space="preserve">ADDIN Mendeley Bibliography CSL_BIBLIOGRAPHY </w:instrText>
      </w:r>
      <w:r>
        <w:fldChar w:fldCharType="separate"/>
      </w:r>
      <w:r w:rsidRPr="00E522D3">
        <w:rPr>
          <w:noProof/>
        </w:rPr>
        <w:t xml:space="preserve">’aisy, A. R., Ratnaningrum, K., &amp; Nugraheni, D. M. (2021). Hepatoprotective </w:t>
      </w:r>
      <w:r w:rsidR="000F3FCC" w:rsidRPr="00E522D3">
        <w:rPr>
          <w:noProof/>
        </w:rPr>
        <w:t>effects of papaya leaves extract</w:t>
      </w:r>
      <w:r w:rsidRPr="00E522D3">
        <w:rPr>
          <w:noProof/>
        </w:rPr>
        <w:t xml:space="preserve"> (</w:t>
      </w:r>
      <w:r w:rsidRPr="001C606A">
        <w:rPr>
          <w:i/>
          <w:iCs/>
          <w:noProof/>
        </w:rPr>
        <w:t>Carica Papaya</w:t>
      </w:r>
      <w:r w:rsidRPr="00E522D3">
        <w:rPr>
          <w:noProof/>
        </w:rPr>
        <w:t xml:space="preserve"> L.) </w:t>
      </w:r>
      <w:r w:rsidR="000F3FCC" w:rsidRPr="00E522D3">
        <w:rPr>
          <w:noProof/>
        </w:rPr>
        <w:t>with increased d</w:t>
      </w:r>
      <w:r w:rsidRPr="00E522D3">
        <w:rPr>
          <w:noProof/>
        </w:rPr>
        <w:t>ose: A S</w:t>
      </w:r>
      <w:r w:rsidR="000F3FCC" w:rsidRPr="00E522D3">
        <w:rPr>
          <w:noProof/>
        </w:rPr>
        <w:t>tudy of total bilirubin levels of wistar rats that given paracetamol</w:t>
      </w:r>
      <w:r w:rsidRPr="00E522D3">
        <w:rPr>
          <w:noProof/>
        </w:rPr>
        <w:t xml:space="preserve">. </w:t>
      </w:r>
      <w:r w:rsidRPr="00E522D3">
        <w:rPr>
          <w:i/>
          <w:iCs/>
          <w:noProof/>
        </w:rPr>
        <w:t>Ahmad Dahlan Medical Journal</w:t>
      </w:r>
      <w:r w:rsidRPr="00E522D3">
        <w:rPr>
          <w:noProof/>
        </w:rPr>
        <w:t xml:space="preserve">, </w:t>
      </w:r>
      <w:r w:rsidRPr="00E522D3">
        <w:rPr>
          <w:i/>
          <w:iCs/>
          <w:noProof/>
        </w:rPr>
        <w:t>2</w:t>
      </w:r>
      <w:r w:rsidRPr="00E522D3">
        <w:rPr>
          <w:noProof/>
        </w:rPr>
        <w:t xml:space="preserve">(2), 46–57. </w:t>
      </w:r>
      <w:hyperlink r:id="rId17" w:history="1">
        <w:r w:rsidRPr="000F3FCC">
          <w:rPr>
            <w:rStyle w:val="Hyperlink"/>
            <w:noProof/>
          </w:rPr>
          <w:t>https://doi.org/10.12928/admj.v2i2.5063</w:t>
        </w:r>
      </w:hyperlink>
    </w:p>
    <w:p w14:paraId="725E602E" w14:textId="77777777" w:rsidR="000F3FCC" w:rsidRPr="00E522D3" w:rsidRDefault="000F3FCC" w:rsidP="00C128B2">
      <w:pPr>
        <w:widowControl w:val="0"/>
        <w:autoSpaceDE w:val="0"/>
        <w:autoSpaceDN w:val="0"/>
        <w:adjustRightInd w:val="0"/>
        <w:ind w:left="567" w:hanging="567"/>
        <w:jc w:val="both"/>
        <w:rPr>
          <w:noProof/>
        </w:rPr>
      </w:pPr>
    </w:p>
    <w:p w14:paraId="3E79A065" w14:textId="5085F0FD" w:rsidR="00C128B2" w:rsidRDefault="00C128B2" w:rsidP="00C128B2">
      <w:pPr>
        <w:widowControl w:val="0"/>
        <w:autoSpaceDE w:val="0"/>
        <w:autoSpaceDN w:val="0"/>
        <w:adjustRightInd w:val="0"/>
        <w:ind w:left="567" w:hanging="567"/>
        <w:jc w:val="both"/>
        <w:rPr>
          <w:noProof/>
        </w:rPr>
      </w:pPr>
      <w:r w:rsidRPr="00E522D3">
        <w:rPr>
          <w:noProof/>
        </w:rPr>
        <w:t xml:space="preserve">Ayoub, S. S. (2021). Paracetamol (acetaminophen): A familiar drug with an unexplained mechanism of action. </w:t>
      </w:r>
      <w:r w:rsidRPr="00E522D3">
        <w:rPr>
          <w:i/>
          <w:iCs/>
          <w:noProof/>
        </w:rPr>
        <w:t>Temperature</w:t>
      </w:r>
      <w:r w:rsidRPr="00E522D3">
        <w:rPr>
          <w:noProof/>
        </w:rPr>
        <w:t xml:space="preserve">, </w:t>
      </w:r>
      <w:r w:rsidRPr="00E522D3">
        <w:rPr>
          <w:i/>
          <w:iCs/>
          <w:noProof/>
        </w:rPr>
        <w:t>8</w:t>
      </w:r>
      <w:r w:rsidRPr="00E522D3">
        <w:rPr>
          <w:noProof/>
        </w:rPr>
        <w:t xml:space="preserve">(4), 351–371. </w:t>
      </w:r>
      <w:hyperlink r:id="rId18" w:history="1">
        <w:r w:rsidRPr="000F3FCC">
          <w:rPr>
            <w:rStyle w:val="Hyperlink"/>
            <w:noProof/>
          </w:rPr>
          <w:t>https://doi.org/10.1080/23328940.2021.1886392</w:t>
        </w:r>
      </w:hyperlink>
    </w:p>
    <w:p w14:paraId="117907CE" w14:textId="77777777" w:rsidR="000F3FCC" w:rsidRPr="00E522D3" w:rsidRDefault="000F3FCC" w:rsidP="00C128B2">
      <w:pPr>
        <w:widowControl w:val="0"/>
        <w:autoSpaceDE w:val="0"/>
        <w:autoSpaceDN w:val="0"/>
        <w:adjustRightInd w:val="0"/>
        <w:ind w:left="567" w:hanging="567"/>
        <w:jc w:val="both"/>
        <w:rPr>
          <w:noProof/>
        </w:rPr>
      </w:pPr>
    </w:p>
    <w:p w14:paraId="5B0B23CC" w14:textId="08D15DB4" w:rsidR="00C128B2" w:rsidRDefault="00C128B2" w:rsidP="00C128B2">
      <w:pPr>
        <w:widowControl w:val="0"/>
        <w:autoSpaceDE w:val="0"/>
        <w:autoSpaceDN w:val="0"/>
        <w:adjustRightInd w:val="0"/>
        <w:ind w:left="567" w:hanging="567"/>
        <w:jc w:val="both"/>
        <w:rPr>
          <w:noProof/>
        </w:rPr>
      </w:pPr>
      <w:r w:rsidRPr="00E522D3">
        <w:rPr>
          <w:noProof/>
        </w:rPr>
        <w:t xml:space="preserve">Ayusso, L. L., Girol, A. P., Neto, L. A., Gomes, I., &amp; Burdmann, E. A. (2026). </w:t>
      </w:r>
      <w:r w:rsidRPr="000F3FCC">
        <w:rPr>
          <w:noProof/>
        </w:rPr>
        <w:t xml:space="preserve">Protective </w:t>
      </w:r>
      <w:r w:rsidR="000F3FCC" w:rsidRPr="000F3FCC">
        <w:rPr>
          <w:noProof/>
        </w:rPr>
        <w:t>effect of green t</w:t>
      </w:r>
      <w:r w:rsidRPr="000F3FCC">
        <w:rPr>
          <w:noProof/>
        </w:rPr>
        <w:t>ea</w:t>
      </w:r>
      <w:r w:rsidRPr="00E522D3">
        <w:rPr>
          <w:i/>
          <w:iCs/>
          <w:noProof/>
        </w:rPr>
        <w:t xml:space="preserve"> (Camellia Sinensis) </w:t>
      </w:r>
      <w:r w:rsidR="000F3FCC" w:rsidRPr="000F3FCC">
        <w:rPr>
          <w:noProof/>
        </w:rPr>
        <w:t>against kidney diseases</w:t>
      </w:r>
      <w:r w:rsidRPr="00E522D3">
        <w:rPr>
          <w:noProof/>
        </w:rPr>
        <w:t xml:space="preserve">. </w:t>
      </w:r>
      <w:r w:rsidRPr="00E522D3">
        <w:rPr>
          <w:i/>
          <w:iCs/>
          <w:noProof/>
        </w:rPr>
        <w:t>December</w:t>
      </w:r>
      <w:r w:rsidRPr="00E522D3">
        <w:rPr>
          <w:noProof/>
        </w:rPr>
        <w:t xml:space="preserve">, S196. </w:t>
      </w:r>
      <w:hyperlink r:id="rId19" w:history="1">
        <w:r w:rsidRPr="000F3FCC">
          <w:rPr>
            <w:rStyle w:val="Hyperlink"/>
            <w:noProof/>
          </w:rPr>
          <w:t>https://doi.org/10.65034/bjnabstract-cpn25196</w:t>
        </w:r>
      </w:hyperlink>
    </w:p>
    <w:p w14:paraId="32448EA5" w14:textId="77777777" w:rsidR="000F3FCC" w:rsidRPr="00E522D3" w:rsidRDefault="000F3FCC" w:rsidP="00C128B2">
      <w:pPr>
        <w:widowControl w:val="0"/>
        <w:autoSpaceDE w:val="0"/>
        <w:autoSpaceDN w:val="0"/>
        <w:adjustRightInd w:val="0"/>
        <w:ind w:left="567" w:hanging="567"/>
        <w:jc w:val="both"/>
        <w:rPr>
          <w:noProof/>
        </w:rPr>
      </w:pPr>
    </w:p>
    <w:p w14:paraId="55693288" w14:textId="215041B4" w:rsidR="00C128B2" w:rsidRDefault="00C128B2" w:rsidP="00C128B2">
      <w:pPr>
        <w:widowControl w:val="0"/>
        <w:autoSpaceDE w:val="0"/>
        <w:autoSpaceDN w:val="0"/>
        <w:adjustRightInd w:val="0"/>
        <w:ind w:left="567" w:hanging="567"/>
        <w:jc w:val="both"/>
        <w:rPr>
          <w:noProof/>
        </w:rPr>
      </w:pPr>
      <w:r w:rsidRPr="00E522D3">
        <w:rPr>
          <w:noProof/>
        </w:rPr>
        <w:t>Begriche, K., Penhoat, C., Bernabeu-Gentey, P., Massart, J., &amp; Fromenty, B. (2023). Acetaminophen-</w:t>
      </w:r>
      <w:r w:rsidR="000F3FCC" w:rsidRPr="00E522D3">
        <w:rPr>
          <w:noProof/>
        </w:rPr>
        <w:t>induced hepatotoxicity in obesity and nonalcoholic fatty liver diseas</w:t>
      </w:r>
      <w:r w:rsidRPr="00E522D3">
        <w:rPr>
          <w:noProof/>
        </w:rPr>
        <w:t xml:space="preserve">e: A </w:t>
      </w:r>
      <w:r w:rsidR="000F3FCC" w:rsidRPr="00E522D3">
        <w:rPr>
          <w:noProof/>
        </w:rPr>
        <w:t>critical revie</w:t>
      </w:r>
      <w:r w:rsidRPr="00E522D3">
        <w:rPr>
          <w:noProof/>
        </w:rPr>
        <w:t xml:space="preserve">w. </w:t>
      </w:r>
      <w:r w:rsidRPr="00E522D3">
        <w:rPr>
          <w:i/>
          <w:iCs/>
          <w:noProof/>
        </w:rPr>
        <w:t>Livers</w:t>
      </w:r>
      <w:r w:rsidRPr="00E522D3">
        <w:rPr>
          <w:noProof/>
        </w:rPr>
        <w:t xml:space="preserve">, </w:t>
      </w:r>
      <w:r w:rsidRPr="00E522D3">
        <w:rPr>
          <w:i/>
          <w:iCs/>
          <w:noProof/>
        </w:rPr>
        <w:t>3</w:t>
      </w:r>
      <w:r w:rsidRPr="00E522D3">
        <w:rPr>
          <w:noProof/>
        </w:rPr>
        <w:t xml:space="preserve">(1), 33–53. </w:t>
      </w:r>
      <w:hyperlink r:id="rId20" w:history="1">
        <w:r w:rsidRPr="000F3FCC">
          <w:rPr>
            <w:rStyle w:val="Hyperlink"/>
            <w:noProof/>
          </w:rPr>
          <w:t>https://doi.org/10.3390/livers 3010003</w:t>
        </w:r>
      </w:hyperlink>
    </w:p>
    <w:p w14:paraId="404F731C" w14:textId="77777777" w:rsidR="000F3FCC" w:rsidRPr="00E522D3" w:rsidRDefault="000F3FCC" w:rsidP="00C128B2">
      <w:pPr>
        <w:widowControl w:val="0"/>
        <w:autoSpaceDE w:val="0"/>
        <w:autoSpaceDN w:val="0"/>
        <w:adjustRightInd w:val="0"/>
        <w:ind w:left="567" w:hanging="567"/>
        <w:jc w:val="both"/>
        <w:rPr>
          <w:noProof/>
        </w:rPr>
      </w:pPr>
    </w:p>
    <w:p w14:paraId="3FC47B0D" w14:textId="77F00D04" w:rsidR="00C128B2" w:rsidRDefault="00C128B2" w:rsidP="00C128B2">
      <w:pPr>
        <w:widowControl w:val="0"/>
        <w:autoSpaceDE w:val="0"/>
        <w:autoSpaceDN w:val="0"/>
        <w:adjustRightInd w:val="0"/>
        <w:ind w:left="567" w:hanging="567"/>
        <w:jc w:val="both"/>
        <w:rPr>
          <w:noProof/>
        </w:rPr>
      </w:pPr>
      <w:r w:rsidRPr="00E522D3">
        <w:rPr>
          <w:noProof/>
        </w:rPr>
        <w:t xml:space="preserve">Cardoso, R. R., Neto, R. O., dos Santos D’Almeida, C. T., do Nascimento, T. P., Pressete, C. G., Azevedo, L., Martino, H. S. D., Cameron, L. C., Ferreira, M. S. L., &amp; Barros, F. A. R. de. (2020). Kombuchas from green and black teas have different phenolic profile, which impacts their antioxidant capacities, antibacterial and antiproliferative activities. </w:t>
      </w:r>
      <w:r w:rsidRPr="00E522D3">
        <w:rPr>
          <w:i/>
          <w:iCs/>
          <w:noProof/>
        </w:rPr>
        <w:t>Food Research International</w:t>
      </w:r>
      <w:r w:rsidRPr="00E522D3">
        <w:rPr>
          <w:noProof/>
        </w:rPr>
        <w:t xml:space="preserve">, </w:t>
      </w:r>
      <w:r w:rsidRPr="00E522D3">
        <w:rPr>
          <w:i/>
          <w:iCs/>
          <w:noProof/>
        </w:rPr>
        <w:t>128</w:t>
      </w:r>
      <w:r w:rsidRPr="00E522D3">
        <w:rPr>
          <w:noProof/>
        </w:rPr>
        <w:t xml:space="preserve">, 108782. </w:t>
      </w:r>
      <w:hyperlink r:id="rId21" w:history="1">
        <w:r w:rsidRPr="000F3FCC">
          <w:rPr>
            <w:rStyle w:val="Hyperlink"/>
            <w:noProof/>
          </w:rPr>
          <w:t>https://doi.org/10.1016/j.foodres.2019.108782</w:t>
        </w:r>
      </w:hyperlink>
    </w:p>
    <w:p w14:paraId="46B49211" w14:textId="77777777" w:rsidR="000F3FCC" w:rsidRPr="00E522D3" w:rsidRDefault="000F3FCC" w:rsidP="00C128B2">
      <w:pPr>
        <w:widowControl w:val="0"/>
        <w:autoSpaceDE w:val="0"/>
        <w:autoSpaceDN w:val="0"/>
        <w:adjustRightInd w:val="0"/>
        <w:ind w:left="567" w:hanging="567"/>
        <w:jc w:val="both"/>
        <w:rPr>
          <w:noProof/>
        </w:rPr>
      </w:pPr>
    </w:p>
    <w:p w14:paraId="6FB16DEC" w14:textId="00876CE1" w:rsidR="00C128B2" w:rsidRDefault="00C128B2" w:rsidP="00C128B2">
      <w:pPr>
        <w:widowControl w:val="0"/>
        <w:autoSpaceDE w:val="0"/>
        <w:autoSpaceDN w:val="0"/>
        <w:adjustRightInd w:val="0"/>
        <w:ind w:left="567" w:hanging="567"/>
        <w:jc w:val="both"/>
        <w:rPr>
          <w:noProof/>
        </w:rPr>
      </w:pPr>
      <w:r w:rsidRPr="00E522D3">
        <w:rPr>
          <w:noProof/>
        </w:rPr>
        <w:t xml:space="preserve">Dear, J. W. (2023). Fomepizole should not be used more liberally in paracetamol overdose. </w:t>
      </w:r>
      <w:r w:rsidRPr="00E522D3">
        <w:rPr>
          <w:i/>
          <w:iCs/>
          <w:noProof/>
        </w:rPr>
        <w:t>British Journal of Clinical Pharmacology</w:t>
      </w:r>
      <w:r w:rsidRPr="00E522D3">
        <w:rPr>
          <w:noProof/>
        </w:rPr>
        <w:t xml:space="preserve">, </w:t>
      </w:r>
      <w:r w:rsidRPr="00E522D3">
        <w:rPr>
          <w:i/>
          <w:iCs/>
          <w:noProof/>
        </w:rPr>
        <w:t>89</w:t>
      </w:r>
      <w:r w:rsidRPr="00E522D3">
        <w:rPr>
          <w:noProof/>
        </w:rPr>
        <w:t xml:space="preserve">(2), 599–601. </w:t>
      </w:r>
      <w:hyperlink r:id="rId22" w:history="1">
        <w:r w:rsidRPr="000F3FCC">
          <w:rPr>
            <w:rStyle w:val="Hyperlink"/>
            <w:noProof/>
          </w:rPr>
          <w:t>https://doi.org/10.1111/bcp.15596</w:t>
        </w:r>
      </w:hyperlink>
    </w:p>
    <w:p w14:paraId="097B8467" w14:textId="77777777" w:rsidR="000F3FCC" w:rsidRPr="00E522D3" w:rsidRDefault="000F3FCC" w:rsidP="00C128B2">
      <w:pPr>
        <w:widowControl w:val="0"/>
        <w:autoSpaceDE w:val="0"/>
        <w:autoSpaceDN w:val="0"/>
        <w:adjustRightInd w:val="0"/>
        <w:ind w:left="567" w:hanging="567"/>
        <w:jc w:val="both"/>
        <w:rPr>
          <w:noProof/>
        </w:rPr>
      </w:pPr>
    </w:p>
    <w:p w14:paraId="04D2EC87" w14:textId="48D53DB9" w:rsidR="00C128B2" w:rsidRDefault="00C128B2" w:rsidP="00C128B2">
      <w:pPr>
        <w:widowControl w:val="0"/>
        <w:autoSpaceDE w:val="0"/>
        <w:autoSpaceDN w:val="0"/>
        <w:adjustRightInd w:val="0"/>
        <w:ind w:left="567" w:hanging="567"/>
        <w:jc w:val="both"/>
        <w:rPr>
          <w:noProof/>
        </w:rPr>
      </w:pPr>
      <w:r w:rsidRPr="00E522D3">
        <w:rPr>
          <w:noProof/>
        </w:rPr>
        <w:t xml:space="preserve">Derosa, Y., Zubir, N., &amp; Arnelis, R. (2021). The </w:t>
      </w:r>
      <w:r w:rsidR="000F3FCC" w:rsidRPr="00E522D3">
        <w:rPr>
          <w:noProof/>
        </w:rPr>
        <w:t>differences of t-regulator cells, alanine aminotransferase serum and aspartate aminotranspherase between hepatitis b chronic patients with and without liver fibros</w:t>
      </w:r>
      <w:r w:rsidRPr="00E522D3">
        <w:rPr>
          <w:noProof/>
        </w:rPr>
        <w:t xml:space="preserve">is. </w:t>
      </w:r>
      <w:r w:rsidRPr="00E522D3">
        <w:rPr>
          <w:i/>
          <w:iCs/>
          <w:noProof/>
        </w:rPr>
        <w:t>The Indonesian Journal of Gastroenterology, Hepatology, and Digestive Endoscopy</w:t>
      </w:r>
      <w:r w:rsidRPr="00E522D3">
        <w:rPr>
          <w:noProof/>
        </w:rPr>
        <w:t xml:space="preserve">, </w:t>
      </w:r>
      <w:r w:rsidRPr="00E522D3">
        <w:rPr>
          <w:i/>
          <w:iCs/>
          <w:noProof/>
        </w:rPr>
        <w:t>22</w:t>
      </w:r>
      <w:r w:rsidRPr="00E522D3">
        <w:rPr>
          <w:noProof/>
        </w:rPr>
        <w:t xml:space="preserve">(2), 116–123. </w:t>
      </w:r>
      <w:hyperlink r:id="rId23" w:history="1">
        <w:r w:rsidRPr="000F3FCC">
          <w:rPr>
            <w:rStyle w:val="Hyperlink"/>
            <w:noProof/>
          </w:rPr>
          <w:t>https://doi.org/10.24871/2222021116-123</w:t>
        </w:r>
      </w:hyperlink>
    </w:p>
    <w:p w14:paraId="218C4D95" w14:textId="77777777" w:rsidR="000F3FCC" w:rsidRPr="00E522D3" w:rsidRDefault="000F3FCC" w:rsidP="00C128B2">
      <w:pPr>
        <w:widowControl w:val="0"/>
        <w:autoSpaceDE w:val="0"/>
        <w:autoSpaceDN w:val="0"/>
        <w:adjustRightInd w:val="0"/>
        <w:ind w:left="567" w:hanging="567"/>
        <w:jc w:val="both"/>
        <w:rPr>
          <w:noProof/>
        </w:rPr>
      </w:pPr>
    </w:p>
    <w:p w14:paraId="2AC898D6" w14:textId="7BB0E978" w:rsidR="00C128B2" w:rsidRDefault="00C128B2" w:rsidP="00C128B2">
      <w:pPr>
        <w:widowControl w:val="0"/>
        <w:autoSpaceDE w:val="0"/>
        <w:autoSpaceDN w:val="0"/>
        <w:adjustRightInd w:val="0"/>
        <w:ind w:left="567" w:hanging="567"/>
        <w:jc w:val="both"/>
        <w:rPr>
          <w:noProof/>
        </w:rPr>
      </w:pPr>
      <w:r w:rsidRPr="00E522D3">
        <w:rPr>
          <w:noProof/>
        </w:rPr>
        <w:t xml:space="preserve">Dias, C., &amp; Nylandsted, J. (2021). Plasma membrane integrity in health and disease : signi fi cance and therapeutic potential. </w:t>
      </w:r>
      <w:r w:rsidRPr="00E522D3">
        <w:rPr>
          <w:i/>
          <w:iCs/>
          <w:noProof/>
        </w:rPr>
        <w:t>Cell Discovery</w:t>
      </w:r>
      <w:r w:rsidRPr="00E522D3">
        <w:rPr>
          <w:noProof/>
        </w:rPr>
        <w:t xml:space="preserve">. </w:t>
      </w:r>
      <w:hyperlink r:id="rId24" w:history="1">
        <w:r w:rsidRPr="000F3FCC">
          <w:rPr>
            <w:rStyle w:val="Hyperlink"/>
            <w:noProof/>
          </w:rPr>
          <w:t>https://doi.org/10.1038/s41421-020-00233-2</w:t>
        </w:r>
      </w:hyperlink>
    </w:p>
    <w:p w14:paraId="2001FF34" w14:textId="77777777" w:rsidR="000F3FCC" w:rsidRPr="00E522D3" w:rsidRDefault="000F3FCC" w:rsidP="00C128B2">
      <w:pPr>
        <w:widowControl w:val="0"/>
        <w:autoSpaceDE w:val="0"/>
        <w:autoSpaceDN w:val="0"/>
        <w:adjustRightInd w:val="0"/>
        <w:ind w:left="567" w:hanging="567"/>
        <w:jc w:val="both"/>
        <w:rPr>
          <w:noProof/>
        </w:rPr>
      </w:pPr>
    </w:p>
    <w:p w14:paraId="6C9C2082" w14:textId="210B802C" w:rsidR="00C128B2" w:rsidRDefault="00C128B2" w:rsidP="00C128B2">
      <w:pPr>
        <w:widowControl w:val="0"/>
        <w:autoSpaceDE w:val="0"/>
        <w:autoSpaceDN w:val="0"/>
        <w:adjustRightInd w:val="0"/>
        <w:ind w:left="567" w:hanging="567"/>
        <w:jc w:val="both"/>
        <w:rPr>
          <w:noProof/>
        </w:rPr>
      </w:pPr>
      <w:r w:rsidRPr="00E522D3">
        <w:rPr>
          <w:noProof/>
        </w:rPr>
        <w:t xml:space="preserve">Garcia, C., Andersen, C. J., &amp; Blesso, C. N. (2023). The </w:t>
      </w:r>
      <w:r w:rsidR="000F3FCC" w:rsidRPr="00E522D3">
        <w:rPr>
          <w:noProof/>
        </w:rPr>
        <w:t>role of lipids in the regulation of immune response</w:t>
      </w:r>
      <w:r w:rsidRPr="00E522D3">
        <w:rPr>
          <w:noProof/>
        </w:rPr>
        <w:t xml:space="preserve">s. </w:t>
      </w:r>
      <w:r w:rsidRPr="00E522D3">
        <w:rPr>
          <w:i/>
          <w:iCs/>
          <w:noProof/>
        </w:rPr>
        <w:t>Nutrients</w:t>
      </w:r>
      <w:r w:rsidRPr="00E522D3">
        <w:rPr>
          <w:noProof/>
        </w:rPr>
        <w:t xml:space="preserve">, </w:t>
      </w:r>
      <w:r w:rsidRPr="00E522D3">
        <w:rPr>
          <w:i/>
          <w:iCs/>
          <w:noProof/>
        </w:rPr>
        <w:t>15</w:t>
      </w:r>
      <w:r w:rsidRPr="00E522D3">
        <w:rPr>
          <w:noProof/>
        </w:rPr>
        <w:t xml:space="preserve">(18). </w:t>
      </w:r>
      <w:hyperlink r:id="rId25" w:history="1">
        <w:r w:rsidRPr="000F3FCC">
          <w:rPr>
            <w:rStyle w:val="Hyperlink"/>
            <w:noProof/>
          </w:rPr>
          <w:t>https://doi.org/10.3390/nu15183899</w:t>
        </w:r>
      </w:hyperlink>
    </w:p>
    <w:p w14:paraId="59D270C6" w14:textId="77777777" w:rsidR="000F3FCC" w:rsidRPr="00E522D3" w:rsidRDefault="000F3FCC" w:rsidP="00C128B2">
      <w:pPr>
        <w:widowControl w:val="0"/>
        <w:autoSpaceDE w:val="0"/>
        <w:autoSpaceDN w:val="0"/>
        <w:adjustRightInd w:val="0"/>
        <w:ind w:left="567" w:hanging="567"/>
        <w:jc w:val="both"/>
        <w:rPr>
          <w:noProof/>
        </w:rPr>
      </w:pPr>
    </w:p>
    <w:p w14:paraId="3C98021B" w14:textId="28B1D0B5" w:rsidR="00C128B2" w:rsidRDefault="00C128B2" w:rsidP="00C128B2">
      <w:pPr>
        <w:widowControl w:val="0"/>
        <w:autoSpaceDE w:val="0"/>
        <w:autoSpaceDN w:val="0"/>
        <w:adjustRightInd w:val="0"/>
        <w:ind w:left="567" w:hanging="567"/>
        <w:jc w:val="both"/>
        <w:rPr>
          <w:noProof/>
        </w:rPr>
      </w:pPr>
      <w:r w:rsidRPr="00E522D3">
        <w:rPr>
          <w:noProof/>
        </w:rPr>
        <w:t xml:space="preserve">Guo, H., Chen, S., Xie, M., Zhou, C., &amp; Zheng, M. (2021). The complex roles of neutrophils in APAP-induced liver injury. </w:t>
      </w:r>
      <w:r w:rsidRPr="00E522D3">
        <w:rPr>
          <w:i/>
          <w:iCs/>
          <w:noProof/>
        </w:rPr>
        <w:t>Cell Proliferation</w:t>
      </w:r>
      <w:r w:rsidRPr="00E522D3">
        <w:rPr>
          <w:noProof/>
        </w:rPr>
        <w:t xml:space="preserve">, </w:t>
      </w:r>
      <w:r w:rsidRPr="00E522D3">
        <w:rPr>
          <w:i/>
          <w:iCs/>
          <w:noProof/>
        </w:rPr>
        <w:t>54</w:t>
      </w:r>
      <w:r w:rsidRPr="00E522D3">
        <w:rPr>
          <w:noProof/>
        </w:rPr>
        <w:t xml:space="preserve">(6), 1–7. </w:t>
      </w:r>
      <w:hyperlink r:id="rId26" w:history="1">
        <w:r w:rsidRPr="000F3FCC">
          <w:rPr>
            <w:rStyle w:val="Hyperlink"/>
            <w:noProof/>
          </w:rPr>
          <w:t>https://doi.org/10.1111/cpr.13040</w:t>
        </w:r>
      </w:hyperlink>
    </w:p>
    <w:p w14:paraId="3FBE6909" w14:textId="77777777" w:rsidR="000F3FCC" w:rsidRPr="00E522D3" w:rsidRDefault="000F3FCC" w:rsidP="00C128B2">
      <w:pPr>
        <w:widowControl w:val="0"/>
        <w:autoSpaceDE w:val="0"/>
        <w:autoSpaceDN w:val="0"/>
        <w:adjustRightInd w:val="0"/>
        <w:ind w:left="567" w:hanging="567"/>
        <w:jc w:val="both"/>
        <w:rPr>
          <w:noProof/>
        </w:rPr>
      </w:pPr>
    </w:p>
    <w:p w14:paraId="2E95886C" w14:textId="49CB8CE3" w:rsidR="00C128B2" w:rsidRDefault="00C128B2" w:rsidP="00C128B2">
      <w:pPr>
        <w:widowControl w:val="0"/>
        <w:autoSpaceDE w:val="0"/>
        <w:autoSpaceDN w:val="0"/>
        <w:adjustRightInd w:val="0"/>
        <w:ind w:left="567" w:hanging="567"/>
        <w:jc w:val="both"/>
        <w:rPr>
          <w:noProof/>
        </w:rPr>
      </w:pPr>
      <w:r w:rsidRPr="00E522D3">
        <w:rPr>
          <w:noProof/>
        </w:rPr>
        <w:t xml:space="preserve">He, L., Xie, H., Du, Y., Xie, X., &amp; Zhang, Y. (2023). The relationship between C-reactive protein to lymphocyte ratio and the prevalence of myocardial infarction in US adults: A cross-sectional study. </w:t>
      </w:r>
      <w:r w:rsidRPr="00E522D3">
        <w:rPr>
          <w:i/>
          <w:iCs/>
          <w:noProof/>
        </w:rPr>
        <w:t>Heliyon</w:t>
      </w:r>
      <w:r w:rsidRPr="00E522D3">
        <w:rPr>
          <w:noProof/>
        </w:rPr>
        <w:t xml:space="preserve">, </w:t>
      </w:r>
      <w:r w:rsidRPr="00E522D3">
        <w:rPr>
          <w:i/>
          <w:iCs/>
          <w:noProof/>
        </w:rPr>
        <w:t>9</w:t>
      </w:r>
      <w:r w:rsidRPr="00E522D3">
        <w:rPr>
          <w:noProof/>
        </w:rPr>
        <w:t xml:space="preserve">(7). </w:t>
      </w:r>
      <w:hyperlink r:id="rId27" w:history="1">
        <w:r w:rsidRPr="000F3FCC">
          <w:rPr>
            <w:rStyle w:val="Hyperlink"/>
            <w:noProof/>
          </w:rPr>
          <w:t>https://doi.org/10.1016/j.heliyon.2023.e17776</w:t>
        </w:r>
      </w:hyperlink>
    </w:p>
    <w:p w14:paraId="4F86B804" w14:textId="77777777" w:rsidR="000F3FCC" w:rsidRPr="00E522D3" w:rsidRDefault="000F3FCC" w:rsidP="00C128B2">
      <w:pPr>
        <w:widowControl w:val="0"/>
        <w:autoSpaceDE w:val="0"/>
        <w:autoSpaceDN w:val="0"/>
        <w:adjustRightInd w:val="0"/>
        <w:ind w:left="567" w:hanging="567"/>
        <w:jc w:val="both"/>
        <w:rPr>
          <w:noProof/>
        </w:rPr>
      </w:pPr>
    </w:p>
    <w:p w14:paraId="399F5D11" w14:textId="5FAAEC5D" w:rsidR="00C128B2" w:rsidRDefault="00C128B2" w:rsidP="00C128B2">
      <w:pPr>
        <w:widowControl w:val="0"/>
        <w:autoSpaceDE w:val="0"/>
        <w:autoSpaceDN w:val="0"/>
        <w:adjustRightInd w:val="0"/>
        <w:ind w:left="567" w:hanging="567"/>
        <w:jc w:val="both"/>
        <w:rPr>
          <w:noProof/>
        </w:rPr>
      </w:pPr>
      <w:r w:rsidRPr="00E522D3">
        <w:rPr>
          <w:noProof/>
        </w:rPr>
        <w:t xml:space="preserve">Islam, M. T., Quispe, C., Islam, M. A., Ali, E. S., Saha, S., Asha, U. H., Mondal, M., Razis, A. F. A., Sunusi, U., Kamal, R. M., Kumar, M., &amp; Sharifi-Rad, J. (2021). Effects of nerol on paracetamol-induced liver damage in Wistar albino rats. </w:t>
      </w:r>
      <w:r w:rsidRPr="00E522D3">
        <w:rPr>
          <w:i/>
          <w:iCs/>
          <w:noProof/>
        </w:rPr>
        <w:t>Biomedicine and Pharmacotherapy</w:t>
      </w:r>
      <w:r w:rsidRPr="00E522D3">
        <w:rPr>
          <w:noProof/>
        </w:rPr>
        <w:t xml:space="preserve">, </w:t>
      </w:r>
      <w:r w:rsidRPr="00E522D3">
        <w:rPr>
          <w:i/>
          <w:iCs/>
          <w:noProof/>
        </w:rPr>
        <w:t>140</w:t>
      </w:r>
      <w:r w:rsidRPr="00E522D3">
        <w:rPr>
          <w:noProof/>
        </w:rPr>
        <w:t xml:space="preserve">, 111732. </w:t>
      </w:r>
      <w:hyperlink r:id="rId28" w:history="1">
        <w:r w:rsidRPr="000F3FCC">
          <w:rPr>
            <w:rStyle w:val="Hyperlink"/>
            <w:noProof/>
          </w:rPr>
          <w:t>https://doi.org/10.1016/j.biopha.2021.111732</w:t>
        </w:r>
      </w:hyperlink>
    </w:p>
    <w:p w14:paraId="1D5F5B91" w14:textId="77777777" w:rsidR="000F3FCC" w:rsidRPr="00E522D3" w:rsidRDefault="000F3FCC" w:rsidP="00C128B2">
      <w:pPr>
        <w:widowControl w:val="0"/>
        <w:autoSpaceDE w:val="0"/>
        <w:autoSpaceDN w:val="0"/>
        <w:adjustRightInd w:val="0"/>
        <w:ind w:left="567" w:hanging="567"/>
        <w:jc w:val="both"/>
        <w:rPr>
          <w:noProof/>
        </w:rPr>
      </w:pPr>
    </w:p>
    <w:p w14:paraId="31C23A1B" w14:textId="7C5F55CE" w:rsidR="00C128B2" w:rsidRDefault="00C128B2" w:rsidP="00C128B2">
      <w:pPr>
        <w:widowControl w:val="0"/>
        <w:autoSpaceDE w:val="0"/>
        <w:autoSpaceDN w:val="0"/>
        <w:adjustRightInd w:val="0"/>
        <w:ind w:left="567" w:hanging="567"/>
        <w:jc w:val="both"/>
        <w:rPr>
          <w:noProof/>
        </w:rPr>
      </w:pPr>
      <w:r w:rsidRPr="00E522D3">
        <w:rPr>
          <w:noProof/>
        </w:rPr>
        <w:t xml:space="preserve">Latif, A. A. El, Assar, D. H., Elkaw, E. M., Hamza, H. A., Alkhalifah, D. H. M., Hozzein, W. N., &amp; Hamouda, R. A. (2021). Protective </w:t>
      </w:r>
      <w:r w:rsidR="000F3FCC">
        <w:rPr>
          <w:noProof/>
        </w:rPr>
        <w:t>r</w:t>
      </w:r>
      <w:r w:rsidRPr="00E522D3">
        <w:rPr>
          <w:noProof/>
        </w:rPr>
        <w:t xml:space="preserve">ole of </w:t>
      </w:r>
      <w:r w:rsidRPr="004C6EA0">
        <w:rPr>
          <w:i/>
          <w:iCs/>
          <w:noProof/>
        </w:rPr>
        <w:t>Chlorella vulgaris</w:t>
      </w:r>
      <w:r w:rsidRPr="00E522D3">
        <w:rPr>
          <w:noProof/>
        </w:rPr>
        <w:t xml:space="preserve"> with </w:t>
      </w:r>
      <w:r w:rsidR="000F3FCC" w:rsidRPr="00E522D3">
        <w:rPr>
          <w:noProof/>
        </w:rPr>
        <w:t>thiamine against paracetamol induced toxic effects on haematological, biochemical, oxidative stress parameters and histopathological changes in wistar rat</w:t>
      </w:r>
      <w:r w:rsidRPr="00E522D3">
        <w:rPr>
          <w:noProof/>
        </w:rPr>
        <w:t xml:space="preserve">s. </w:t>
      </w:r>
      <w:r w:rsidRPr="00E522D3">
        <w:rPr>
          <w:i/>
          <w:iCs/>
          <w:noProof/>
        </w:rPr>
        <w:t>Scientific Reports</w:t>
      </w:r>
      <w:r w:rsidRPr="00E522D3">
        <w:rPr>
          <w:noProof/>
        </w:rPr>
        <w:t xml:space="preserve">, </w:t>
      </w:r>
      <w:r w:rsidRPr="00E522D3">
        <w:rPr>
          <w:i/>
          <w:iCs/>
          <w:noProof/>
        </w:rPr>
        <w:t>11</w:t>
      </w:r>
      <w:r w:rsidRPr="00E522D3">
        <w:rPr>
          <w:noProof/>
        </w:rPr>
        <w:t xml:space="preserve">(1), 1–16. </w:t>
      </w:r>
      <w:hyperlink r:id="rId29" w:history="1">
        <w:r w:rsidRPr="000F3FCC">
          <w:rPr>
            <w:rStyle w:val="Hyperlink"/>
            <w:noProof/>
          </w:rPr>
          <w:t>https://doi.org/10.1038/s41598-021-83316-8</w:t>
        </w:r>
      </w:hyperlink>
    </w:p>
    <w:p w14:paraId="5086ACE4" w14:textId="77777777" w:rsidR="000F3FCC" w:rsidRPr="00E522D3" w:rsidRDefault="000F3FCC" w:rsidP="00C128B2">
      <w:pPr>
        <w:widowControl w:val="0"/>
        <w:autoSpaceDE w:val="0"/>
        <w:autoSpaceDN w:val="0"/>
        <w:adjustRightInd w:val="0"/>
        <w:ind w:left="567" w:hanging="567"/>
        <w:jc w:val="both"/>
        <w:rPr>
          <w:noProof/>
        </w:rPr>
      </w:pPr>
    </w:p>
    <w:p w14:paraId="033BEAFD" w14:textId="04C1FF11" w:rsidR="00C128B2" w:rsidRDefault="00C128B2" w:rsidP="00C128B2">
      <w:pPr>
        <w:widowControl w:val="0"/>
        <w:autoSpaceDE w:val="0"/>
        <w:autoSpaceDN w:val="0"/>
        <w:adjustRightInd w:val="0"/>
        <w:ind w:left="567" w:hanging="567"/>
        <w:jc w:val="both"/>
        <w:rPr>
          <w:noProof/>
        </w:rPr>
      </w:pPr>
      <w:r w:rsidRPr="00E522D3">
        <w:rPr>
          <w:noProof/>
        </w:rPr>
        <w:t xml:space="preserve">Li, S., Liu, X., Chen, X., &amp; Bi, L. (2020). Research </w:t>
      </w:r>
      <w:r w:rsidR="00A93A17" w:rsidRPr="00E522D3">
        <w:rPr>
          <w:noProof/>
        </w:rPr>
        <w:t>progress on anti-inflammatory effects and mechanisms of alkaloids from chinese medical her</w:t>
      </w:r>
      <w:r w:rsidRPr="00E522D3">
        <w:rPr>
          <w:noProof/>
        </w:rPr>
        <w:t xml:space="preserve">bs. </w:t>
      </w:r>
      <w:r w:rsidRPr="00E522D3">
        <w:rPr>
          <w:i/>
          <w:iCs/>
          <w:noProof/>
        </w:rPr>
        <w:t>Evidence-Based Complementary and Alternative Medicine</w:t>
      </w:r>
      <w:r w:rsidRPr="00E522D3">
        <w:rPr>
          <w:noProof/>
        </w:rPr>
        <w:t xml:space="preserve">, 1–10. </w:t>
      </w:r>
      <w:hyperlink r:id="rId30" w:history="1">
        <w:r w:rsidRPr="000F3FCC">
          <w:rPr>
            <w:rStyle w:val="Hyperlink"/>
            <w:noProof/>
          </w:rPr>
          <w:t>https://doi.org/10.1155/2020/1303524</w:t>
        </w:r>
      </w:hyperlink>
    </w:p>
    <w:p w14:paraId="70B5F12C" w14:textId="77777777" w:rsidR="000F3FCC" w:rsidRPr="00E522D3" w:rsidRDefault="000F3FCC" w:rsidP="00C128B2">
      <w:pPr>
        <w:widowControl w:val="0"/>
        <w:autoSpaceDE w:val="0"/>
        <w:autoSpaceDN w:val="0"/>
        <w:adjustRightInd w:val="0"/>
        <w:ind w:left="567" w:hanging="567"/>
        <w:jc w:val="both"/>
        <w:rPr>
          <w:noProof/>
        </w:rPr>
      </w:pPr>
    </w:p>
    <w:p w14:paraId="2CB2A2D6" w14:textId="337424B2" w:rsidR="00C128B2" w:rsidRDefault="00C128B2" w:rsidP="00C128B2">
      <w:pPr>
        <w:widowControl w:val="0"/>
        <w:autoSpaceDE w:val="0"/>
        <w:autoSpaceDN w:val="0"/>
        <w:adjustRightInd w:val="0"/>
        <w:ind w:left="567" w:hanging="567"/>
        <w:jc w:val="both"/>
        <w:rPr>
          <w:noProof/>
        </w:rPr>
      </w:pPr>
      <w:r w:rsidRPr="00E522D3">
        <w:rPr>
          <w:noProof/>
        </w:rPr>
        <w:t xml:space="preserve">Li, X., Ni, J., &amp; Chen, L. (2023). Advances in the study of acetaminophen-induced liver injury. </w:t>
      </w:r>
      <w:r w:rsidRPr="00E522D3">
        <w:rPr>
          <w:i/>
          <w:iCs/>
          <w:noProof/>
        </w:rPr>
        <w:t>Frontiers in Pharmacology</w:t>
      </w:r>
      <w:r w:rsidRPr="00E522D3">
        <w:rPr>
          <w:noProof/>
        </w:rPr>
        <w:t xml:space="preserve">, </w:t>
      </w:r>
      <w:r w:rsidRPr="00E522D3">
        <w:rPr>
          <w:i/>
          <w:iCs/>
          <w:noProof/>
        </w:rPr>
        <w:t>14</w:t>
      </w:r>
      <w:r w:rsidRPr="00E522D3">
        <w:rPr>
          <w:noProof/>
        </w:rPr>
        <w:t xml:space="preserve">, 1–13. </w:t>
      </w:r>
      <w:hyperlink r:id="rId31" w:history="1">
        <w:r w:rsidRPr="000F3FCC">
          <w:rPr>
            <w:rStyle w:val="Hyperlink"/>
            <w:noProof/>
          </w:rPr>
          <w:t>https://doi.org/10.3389/fphar.2023. 1239395</w:t>
        </w:r>
      </w:hyperlink>
    </w:p>
    <w:p w14:paraId="79DCFBF1" w14:textId="77777777" w:rsidR="000F3FCC" w:rsidRPr="00E522D3" w:rsidRDefault="000F3FCC" w:rsidP="00C128B2">
      <w:pPr>
        <w:widowControl w:val="0"/>
        <w:autoSpaceDE w:val="0"/>
        <w:autoSpaceDN w:val="0"/>
        <w:adjustRightInd w:val="0"/>
        <w:ind w:left="567" w:hanging="567"/>
        <w:jc w:val="both"/>
        <w:rPr>
          <w:noProof/>
        </w:rPr>
      </w:pPr>
    </w:p>
    <w:p w14:paraId="5C1DA4B0" w14:textId="68F739D7" w:rsidR="00C128B2" w:rsidRDefault="00C128B2" w:rsidP="00C128B2">
      <w:pPr>
        <w:widowControl w:val="0"/>
        <w:autoSpaceDE w:val="0"/>
        <w:autoSpaceDN w:val="0"/>
        <w:adjustRightInd w:val="0"/>
        <w:ind w:left="567" w:hanging="567"/>
        <w:jc w:val="both"/>
        <w:rPr>
          <w:noProof/>
        </w:rPr>
      </w:pPr>
      <w:r w:rsidRPr="00E522D3">
        <w:rPr>
          <w:noProof/>
        </w:rPr>
        <w:t xml:space="preserve">Liu, K., Wang, F. S., &amp; Xu, R. (2021). Neutrophils in liver diseases: </w:t>
      </w:r>
      <w:r w:rsidR="00A93A17">
        <w:rPr>
          <w:noProof/>
        </w:rPr>
        <w:t>P</w:t>
      </w:r>
      <w:r w:rsidRPr="00E522D3">
        <w:rPr>
          <w:noProof/>
        </w:rPr>
        <w:t xml:space="preserve">athogenesis and therapeutic targets. </w:t>
      </w:r>
      <w:r w:rsidRPr="00E522D3">
        <w:rPr>
          <w:i/>
          <w:iCs/>
          <w:noProof/>
        </w:rPr>
        <w:t>Cellular and Molecular Immunology</w:t>
      </w:r>
      <w:r w:rsidRPr="00E522D3">
        <w:rPr>
          <w:noProof/>
        </w:rPr>
        <w:t xml:space="preserve">, </w:t>
      </w:r>
      <w:r w:rsidRPr="00E522D3">
        <w:rPr>
          <w:i/>
          <w:iCs/>
          <w:noProof/>
        </w:rPr>
        <w:t>18</w:t>
      </w:r>
      <w:r w:rsidRPr="00E522D3">
        <w:rPr>
          <w:noProof/>
        </w:rPr>
        <w:t xml:space="preserve">(1), 38–44. </w:t>
      </w:r>
      <w:hyperlink r:id="rId32" w:history="1">
        <w:r w:rsidRPr="000F3FCC">
          <w:rPr>
            <w:rStyle w:val="Hyperlink"/>
            <w:noProof/>
          </w:rPr>
          <w:t>https://doi.org/10.1038/s41423-020-00560-0</w:t>
        </w:r>
      </w:hyperlink>
    </w:p>
    <w:p w14:paraId="5CE91369" w14:textId="77777777" w:rsidR="000F3FCC" w:rsidRPr="00E522D3" w:rsidRDefault="000F3FCC" w:rsidP="00C128B2">
      <w:pPr>
        <w:widowControl w:val="0"/>
        <w:autoSpaceDE w:val="0"/>
        <w:autoSpaceDN w:val="0"/>
        <w:adjustRightInd w:val="0"/>
        <w:ind w:left="567" w:hanging="567"/>
        <w:jc w:val="both"/>
        <w:rPr>
          <w:noProof/>
        </w:rPr>
      </w:pPr>
    </w:p>
    <w:p w14:paraId="7843E693" w14:textId="2288F51B" w:rsidR="00C128B2" w:rsidRDefault="00C128B2" w:rsidP="00C128B2">
      <w:pPr>
        <w:widowControl w:val="0"/>
        <w:autoSpaceDE w:val="0"/>
        <w:autoSpaceDN w:val="0"/>
        <w:adjustRightInd w:val="0"/>
        <w:ind w:left="567" w:hanging="567"/>
        <w:jc w:val="both"/>
        <w:rPr>
          <w:noProof/>
        </w:rPr>
      </w:pPr>
      <w:r w:rsidRPr="00E522D3">
        <w:rPr>
          <w:noProof/>
        </w:rPr>
        <w:t xml:space="preserve">Lv, L., Xu, C., Mo, X., Sun, H. Y., &amp; Bi, H. (2020). Green </w:t>
      </w:r>
      <w:r w:rsidR="00A93A17" w:rsidRPr="00E522D3">
        <w:rPr>
          <w:noProof/>
        </w:rPr>
        <w:t>tea polyphenols protect against acetaminophen-induced liver injury by regulating the drug metabolizing enzymes and transporters</w:t>
      </w:r>
      <w:r w:rsidRPr="00E522D3">
        <w:rPr>
          <w:noProof/>
        </w:rPr>
        <w:t xml:space="preserve">. </w:t>
      </w:r>
      <w:r w:rsidRPr="00E522D3">
        <w:rPr>
          <w:i/>
          <w:iCs/>
          <w:noProof/>
        </w:rPr>
        <w:t>Evidence-Based Complementary and Alternative Medicine</w:t>
      </w:r>
      <w:r w:rsidRPr="00E522D3">
        <w:rPr>
          <w:noProof/>
        </w:rPr>
        <w:t xml:space="preserve">, </w:t>
      </w:r>
      <w:r w:rsidRPr="00E522D3">
        <w:rPr>
          <w:i/>
          <w:iCs/>
          <w:noProof/>
        </w:rPr>
        <w:t>2020</w:t>
      </w:r>
      <w:r w:rsidRPr="00E522D3">
        <w:rPr>
          <w:noProof/>
        </w:rPr>
        <w:t xml:space="preserve">. </w:t>
      </w:r>
      <w:hyperlink r:id="rId33" w:history="1">
        <w:r w:rsidRPr="000F3FCC">
          <w:rPr>
            <w:rStyle w:val="Hyperlink"/>
            <w:noProof/>
          </w:rPr>
          <w:t>https://doi.org/10.1155/2020/2696432</w:t>
        </w:r>
      </w:hyperlink>
    </w:p>
    <w:p w14:paraId="68AD9F34" w14:textId="77777777" w:rsidR="000F3FCC" w:rsidRPr="00E522D3" w:rsidRDefault="000F3FCC" w:rsidP="00C128B2">
      <w:pPr>
        <w:widowControl w:val="0"/>
        <w:autoSpaceDE w:val="0"/>
        <w:autoSpaceDN w:val="0"/>
        <w:adjustRightInd w:val="0"/>
        <w:ind w:left="567" w:hanging="567"/>
        <w:jc w:val="both"/>
        <w:rPr>
          <w:noProof/>
        </w:rPr>
      </w:pPr>
    </w:p>
    <w:p w14:paraId="5FF19228" w14:textId="40E5551E" w:rsidR="00C128B2" w:rsidRDefault="00C128B2" w:rsidP="00C128B2">
      <w:pPr>
        <w:widowControl w:val="0"/>
        <w:autoSpaceDE w:val="0"/>
        <w:autoSpaceDN w:val="0"/>
        <w:adjustRightInd w:val="0"/>
        <w:ind w:left="567" w:hanging="567"/>
        <w:jc w:val="both"/>
        <w:rPr>
          <w:noProof/>
        </w:rPr>
      </w:pPr>
      <w:r w:rsidRPr="00E522D3">
        <w:rPr>
          <w:noProof/>
        </w:rPr>
        <w:t xml:space="preserve">Masenga, S. K., Kabwe, L. S., Chakulya, M., &amp; Kirabo, A. (2023). Mechanisms of </w:t>
      </w:r>
      <w:r w:rsidR="00A93A17" w:rsidRPr="00E522D3">
        <w:rPr>
          <w:noProof/>
        </w:rPr>
        <w:t>oxidative stress in metabolic syn</w:t>
      </w:r>
      <w:r w:rsidRPr="00E522D3">
        <w:rPr>
          <w:noProof/>
        </w:rPr>
        <w:t xml:space="preserve">drome. </w:t>
      </w:r>
      <w:r w:rsidRPr="00E522D3">
        <w:rPr>
          <w:i/>
          <w:iCs/>
          <w:noProof/>
        </w:rPr>
        <w:t>International Journal of Molecular Sciences</w:t>
      </w:r>
      <w:r w:rsidRPr="00E522D3">
        <w:rPr>
          <w:noProof/>
        </w:rPr>
        <w:t xml:space="preserve">, </w:t>
      </w:r>
      <w:r w:rsidRPr="00E522D3">
        <w:rPr>
          <w:i/>
          <w:iCs/>
          <w:noProof/>
        </w:rPr>
        <w:t>24</w:t>
      </w:r>
      <w:r w:rsidRPr="00E522D3">
        <w:rPr>
          <w:noProof/>
        </w:rPr>
        <w:t xml:space="preserve">(9). </w:t>
      </w:r>
      <w:hyperlink r:id="rId34" w:history="1">
        <w:r w:rsidRPr="00A93A17">
          <w:rPr>
            <w:rStyle w:val="Hyperlink"/>
            <w:noProof/>
          </w:rPr>
          <w:t>https://doi.org/10.3390/ijms24097898</w:t>
        </w:r>
      </w:hyperlink>
    </w:p>
    <w:p w14:paraId="05F3D1B9" w14:textId="77777777" w:rsidR="000F3FCC" w:rsidRPr="00E522D3" w:rsidRDefault="000F3FCC" w:rsidP="00C128B2">
      <w:pPr>
        <w:widowControl w:val="0"/>
        <w:autoSpaceDE w:val="0"/>
        <w:autoSpaceDN w:val="0"/>
        <w:adjustRightInd w:val="0"/>
        <w:ind w:left="567" w:hanging="567"/>
        <w:jc w:val="both"/>
        <w:rPr>
          <w:noProof/>
        </w:rPr>
      </w:pPr>
    </w:p>
    <w:p w14:paraId="5180F301" w14:textId="7F00135F" w:rsidR="00C128B2" w:rsidRDefault="00C128B2" w:rsidP="00C128B2">
      <w:pPr>
        <w:widowControl w:val="0"/>
        <w:autoSpaceDE w:val="0"/>
        <w:autoSpaceDN w:val="0"/>
        <w:adjustRightInd w:val="0"/>
        <w:ind w:left="567" w:hanging="567"/>
        <w:jc w:val="both"/>
        <w:rPr>
          <w:noProof/>
        </w:rPr>
      </w:pPr>
      <w:r w:rsidRPr="00E522D3">
        <w:rPr>
          <w:noProof/>
        </w:rPr>
        <w:t xml:space="preserve">Mitchell, R. A., Rathi, S., Dahiya, M., Zhu, J., Hussaini, T., &amp; Yoshida, E. M. (2020). Public awareness of acetaminophen and risks of drug induced liver injury: Results of a large outpatient clinic survey. </w:t>
      </w:r>
      <w:r w:rsidRPr="00E522D3">
        <w:rPr>
          <w:i/>
          <w:iCs/>
          <w:noProof/>
        </w:rPr>
        <w:t>PLoS ONE</w:t>
      </w:r>
      <w:r w:rsidRPr="00E522D3">
        <w:rPr>
          <w:noProof/>
        </w:rPr>
        <w:t xml:space="preserve">, </w:t>
      </w:r>
      <w:r w:rsidRPr="00E522D3">
        <w:rPr>
          <w:i/>
          <w:iCs/>
          <w:noProof/>
        </w:rPr>
        <w:t>15</w:t>
      </w:r>
      <w:r w:rsidRPr="00E522D3">
        <w:rPr>
          <w:noProof/>
        </w:rPr>
        <w:t xml:space="preserve">(3), 1–9. </w:t>
      </w:r>
      <w:hyperlink r:id="rId35" w:history="1">
        <w:r w:rsidRPr="00A93A17">
          <w:rPr>
            <w:rStyle w:val="Hyperlink"/>
            <w:noProof/>
          </w:rPr>
          <w:t>https://doi.org/10.1371/journal.pone.0229070</w:t>
        </w:r>
      </w:hyperlink>
    </w:p>
    <w:p w14:paraId="17CDC6E7" w14:textId="77777777" w:rsidR="000F3FCC" w:rsidRPr="00E522D3" w:rsidRDefault="000F3FCC" w:rsidP="00C128B2">
      <w:pPr>
        <w:widowControl w:val="0"/>
        <w:autoSpaceDE w:val="0"/>
        <w:autoSpaceDN w:val="0"/>
        <w:adjustRightInd w:val="0"/>
        <w:ind w:left="567" w:hanging="567"/>
        <w:jc w:val="both"/>
        <w:rPr>
          <w:noProof/>
        </w:rPr>
      </w:pPr>
    </w:p>
    <w:p w14:paraId="5AF74B79" w14:textId="75443502" w:rsidR="00C128B2" w:rsidRDefault="00C128B2" w:rsidP="00C128B2">
      <w:pPr>
        <w:widowControl w:val="0"/>
        <w:autoSpaceDE w:val="0"/>
        <w:autoSpaceDN w:val="0"/>
        <w:adjustRightInd w:val="0"/>
        <w:ind w:left="567" w:hanging="567"/>
        <w:jc w:val="both"/>
        <w:rPr>
          <w:noProof/>
        </w:rPr>
      </w:pPr>
      <w:r w:rsidRPr="00E522D3">
        <w:rPr>
          <w:noProof/>
        </w:rPr>
        <w:t xml:space="preserve">Ndrepepa, G. (2021). Aspartate aminotransferase and cardiovascular disease - A narrative review. </w:t>
      </w:r>
      <w:r w:rsidRPr="00E522D3">
        <w:rPr>
          <w:i/>
          <w:iCs/>
          <w:noProof/>
        </w:rPr>
        <w:t>Journal of Laboratory and Precision Medicine</w:t>
      </w:r>
      <w:r w:rsidRPr="00E522D3">
        <w:rPr>
          <w:noProof/>
        </w:rPr>
        <w:t xml:space="preserve">, </w:t>
      </w:r>
      <w:r w:rsidRPr="00E522D3">
        <w:rPr>
          <w:i/>
          <w:iCs/>
          <w:noProof/>
        </w:rPr>
        <w:t>6</w:t>
      </w:r>
      <w:r w:rsidRPr="00E522D3">
        <w:rPr>
          <w:noProof/>
        </w:rPr>
        <w:t xml:space="preserve">(January). </w:t>
      </w:r>
      <w:hyperlink r:id="rId36" w:history="1">
        <w:r w:rsidRPr="00A93A17">
          <w:rPr>
            <w:rStyle w:val="Hyperlink"/>
            <w:noProof/>
          </w:rPr>
          <w:t>https://doi.org/10.21037/jlpm-20-93</w:t>
        </w:r>
      </w:hyperlink>
    </w:p>
    <w:p w14:paraId="56B4DB80" w14:textId="77777777" w:rsidR="000F3FCC" w:rsidRPr="00E522D3" w:rsidRDefault="000F3FCC" w:rsidP="00C128B2">
      <w:pPr>
        <w:widowControl w:val="0"/>
        <w:autoSpaceDE w:val="0"/>
        <w:autoSpaceDN w:val="0"/>
        <w:adjustRightInd w:val="0"/>
        <w:ind w:left="567" w:hanging="567"/>
        <w:jc w:val="both"/>
        <w:rPr>
          <w:noProof/>
        </w:rPr>
      </w:pPr>
    </w:p>
    <w:p w14:paraId="5C174031" w14:textId="31E7657C" w:rsidR="00C128B2" w:rsidRDefault="00C128B2" w:rsidP="00C128B2">
      <w:pPr>
        <w:widowControl w:val="0"/>
        <w:autoSpaceDE w:val="0"/>
        <w:autoSpaceDN w:val="0"/>
        <w:adjustRightInd w:val="0"/>
        <w:ind w:left="567" w:hanging="567"/>
        <w:jc w:val="both"/>
        <w:rPr>
          <w:noProof/>
        </w:rPr>
      </w:pPr>
      <w:r w:rsidRPr="00E522D3">
        <w:rPr>
          <w:noProof/>
        </w:rPr>
        <w:t xml:space="preserve">Ohashi, N., &amp; Kohno, T. (2020). Analgesic Effect of Acetaminophen: A Review of Known and Novel Mechanisms of Action. </w:t>
      </w:r>
      <w:r w:rsidRPr="00E522D3">
        <w:rPr>
          <w:i/>
          <w:iCs/>
          <w:noProof/>
        </w:rPr>
        <w:t>Frontiers in Pharmacology</w:t>
      </w:r>
      <w:r w:rsidRPr="00E522D3">
        <w:rPr>
          <w:noProof/>
        </w:rPr>
        <w:t xml:space="preserve">, </w:t>
      </w:r>
      <w:r w:rsidRPr="00E522D3">
        <w:rPr>
          <w:i/>
          <w:iCs/>
          <w:noProof/>
        </w:rPr>
        <w:t>11</w:t>
      </w:r>
      <w:r w:rsidRPr="00E522D3">
        <w:rPr>
          <w:noProof/>
        </w:rPr>
        <w:t xml:space="preserve">(November), 1–6. </w:t>
      </w:r>
      <w:hyperlink r:id="rId37" w:history="1">
        <w:r w:rsidRPr="00A93A17">
          <w:rPr>
            <w:rStyle w:val="Hyperlink"/>
            <w:noProof/>
          </w:rPr>
          <w:t>https://doi.org/10.3389/fphar.2020.580289</w:t>
        </w:r>
      </w:hyperlink>
    </w:p>
    <w:p w14:paraId="380E5A16" w14:textId="77777777" w:rsidR="000F3FCC" w:rsidRDefault="000F3FCC" w:rsidP="00C128B2">
      <w:pPr>
        <w:widowControl w:val="0"/>
        <w:autoSpaceDE w:val="0"/>
        <w:autoSpaceDN w:val="0"/>
        <w:adjustRightInd w:val="0"/>
        <w:ind w:left="567" w:hanging="567"/>
        <w:jc w:val="both"/>
        <w:rPr>
          <w:noProof/>
        </w:rPr>
      </w:pPr>
    </w:p>
    <w:p w14:paraId="03066C79" w14:textId="77777777" w:rsidR="00C128B2" w:rsidRDefault="00C128B2" w:rsidP="00C128B2">
      <w:pPr>
        <w:widowControl w:val="0"/>
        <w:autoSpaceDE w:val="0"/>
        <w:autoSpaceDN w:val="0"/>
        <w:adjustRightInd w:val="0"/>
        <w:ind w:left="567" w:hanging="567"/>
        <w:jc w:val="both"/>
        <w:rPr>
          <w:noProof/>
        </w:rPr>
      </w:pPr>
      <w:r w:rsidRPr="00B03760">
        <w:rPr>
          <w:noProof/>
        </w:rPr>
        <w:t xml:space="preserve">Quesenberry, K. E., Orcutt, C. J., Mans, C., &amp; Carpenter, J. W. (Eds.). (2021). </w:t>
      </w:r>
      <w:r w:rsidRPr="00A93A17">
        <w:rPr>
          <w:i/>
          <w:iCs/>
          <w:noProof/>
        </w:rPr>
        <w:t>Ferrets, rabbits, and rodents: Clinical medicine and surgery</w:t>
      </w:r>
      <w:r w:rsidRPr="00B03760">
        <w:rPr>
          <w:noProof/>
        </w:rPr>
        <w:t xml:space="preserve"> (4th ed.). Elsevier.</w:t>
      </w:r>
    </w:p>
    <w:p w14:paraId="14C67481" w14:textId="77777777" w:rsidR="000F3FCC" w:rsidRPr="00E522D3" w:rsidRDefault="000F3FCC" w:rsidP="00C128B2">
      <w:pPr>
        <w:widowControl w:val="0"/>
        <w:autoSpaceDE w:val="0"/>
        <w:autoSpaceDN w:val="0"/>
        <w:adjustRightInd w:val="0"/>
        <w:ind w:left="567" w:hanging="567"/>
        <w:jc w:val="both"/>
        <w:rPr>
          <w:noProof/>
        </w:rPr>
      </w:pPr>
    </w:p>
    <w:p w14:paraId="287C1B2D" w14:textId="268E2854" w:rsidR="00C128B2" w:rsidRDefault="00C128B2" w:rsidP="00C128B2">
      <w:pPr>
        <w:widowControl w:val="0"/>
        <w:autoSpaceDE w:val="0"/>
        <w:autoSpaceDN w:val="0"/>
        <w:adjustRightInd w:val="0"/>
        <w:ind w:left="567" w:hanging="567"/>
        <w:jc w:val="both"/>
        <w:rPr>
          <w:noProof/>
        </w:rPr>
      </w:pPr>
      <w:r w:rsidRPr="00E522D3">
        <w:rPr>
          <w:noProof/>
        </w:rPr>
        <w:t xml:space="preserve">Riyani, A., Firman Solihat, M., &amp; Rohdiana, D. (2021). Hepatoprotector </w:t>
      </w:r>
      <w:r w:rsidR="00A93A17" w:rsidRPr="00E522D3">
        <w:rPr>
          <w:noProof/>
        </w:rPr>
        <w:t>activity test of green tea</w:t>
      </w:r>
      <w:r w:rsidRPr="00E522D3">
        <w:rPr>
          <w:noProof/>
        </w:rPr>
        <w:t xml:space="preserve"> (</w:t>
      </w:r>
      <w:r w:rsidRPr="00B03760">
        <w:rPr>
          <w:i/>
          <w:iCs/>
          <w:noProof/>
        </w:rPr>
        <w:t>Camellia Sinensis</w:t>
      </w:r>
      <w:r w:rsidRPr="00E522D3">
        <w:rPr>
          <w:noProof/>
        </w:rPr>
        <w:t xml:space="preserve">, L) </w:t>
      </w:r>
      <w:r w:rsidR="00A93A17" w:rsidRPr="00E522D3">
        <w:rPr>
          <w:noProof/>
        </w:rPr>
        <w:t>gambung variety ethanol extract in</w:t>
      </w:r>
      <w:r w:rsidRPr="00E522D3">
        <w:rPr>
          <w:noProof/>
        </w:rPr>
        <w:t xml:space="preserve"> Balb/C </w:t>
      </w:r>
      <w:r w:rsidR="00A93A17" w:rsidRPr="00E522D3">
        <w:rPr>
          <w:noProof/>
        </w:rPr>
        <w:t xml:space="preserve">mouse </w:t>
      </w:r>
      <w:r w:rsidR="00A93A17" w:rsidRPr="00E522D3">
        <w:rPr>
          <w:noProof/>
        </w:rPr>
        <w:lastRenderedPageBreak/>
        <w:t>induced wit</w:t>
      </w:r>
      <w:r w:rsidRPr="00E522D3">
        <w:rPr>
          <w:noProof/>
        </w:rPr>
        <w:t xml:space="preserve">h Ccl4. </w:t>
      </w:r>
      <w:r w:rsidRPr="00E522D3">
        <w:rPr>
          <w:i/>
          <w:iCs/>
          <w:noProof/>
        </w:rPr>
        <w:t>International …</w:t>
      </w:r>
      <w:r w:rsidRPr="00E522D3">
        <w:rPr>
          <w:noProof/>
        </w:rPr>
        <w:t xml:space="preserve">, </w:t>
      </w:r>
      <w:r w:rsidRPr="00E522D3">
        <w:rPr>
          <w:i/>
          <w:iCs/>
          <w:noProof/>
        </w:rPr>
        <w:t>December</w:t>
      </w:r>
      <w:r w:rsidRPr="00E522D3">
        <w:rPr>
          <w:noProof/>
        </w:rPr>
        <w:t xml:space="preserve">, 14–16. </w:t>
      </w:r>
      <w:hyperlink r:id="rId38" w:history="1">
        <w:r w:rsidRPr="00A93A17">
          <w:rPr>
            <w:rStyle w:val="Hyperlink"/>
            <w:noProof/>
          </w:rPr>
          <w:t>http://conference.juriskes.com/index.php/IC/article/view/116</w:t>
        </w:r>
      </w:hyperlink>
    </w:p>
    <w:p w14:paraId="19F3EE28" w14:textId="77777777" w:rsidR="000F3FCC" w:rsidRPr="00E522D3" w:rsidRDefault="000F3FCC" w:rsidP="00C128B2">
      <w:pPr>
        <w:widowControl w:val="0"/>
        <w:autoSpaceDE w:val="0"/>
        <w:autoSpaceDN w:val="0"/>
        <w:adjustRightInd w:val="0"/>
        <w:ind w:left="567" w:hanging="567"/>
        <w:jc w:val="both"/>
        <w:rPr>
          <w:noProof/>
        </w:rPr>
      </w:pPr>
    </w:p>
    <w:p w14:paraId="3C2B5030" w14:textId="47D3529F" w:rsidR="00C128B2" w:rsidRDefault="00C128B2" w:rsidP="00C128B2">
      <w:pPr>
        <w:widowControl w:val="0"/>
        <w:autoSpaceDE w:val="0"/>
        <w:autoSpaceDN w:val="0"/>
        <w:adjustRightInd w:val="0"/>
        <w:ind w:left="567" w:hanging="567"/>
        <w:jc w:val="both"/>
        <w:rPr>
          <w:noProof/>
        </w:rPr>
      </w:pPr>
      <w:r w:rsidRPr="00E522D3">
        <w:rPr>
          <w:noProof/>
        </w:rPr>
        <w:t xml:space="preserve">Roehlen, N., Crouchet, E., &amp; Baumen, T. E. (2020). Liver </w:t>
      </w:r>
      <w:r w:rsidR="00A93A17">
        <w:rPr>
          <w:noProof/>
        </w:rPr>
        <w:t>f</w:t>
      </w:r>
      <w:r w:rsidRPr="00E522D3">
        <w:rPr>
          <w:noProof/>
        </w:rPr>
        <w:t xml:space="preserve">ibrosis : Mechanistic Concepts and. In </w:t>
      </w:r>
      <w:r w:rsidRPr="00E522D3">
        <w:rPr>
          <w:i/>
          <w:iCs/>
          <w:noProof/>
        </w:rPr>
        <w:t>Cells</w:t>
      </w:r>
      <w:r w:rsidRPr="00E522D3">
        <w:rPr>
          <w:noProof/>
        </w:rPr>
        <w:t xml:space="preserve"> (Issue 9).</w:t>
      </w:r>
    </w:p>
    <w:p w14:paraId="3F82B1C8" w14:textId="77777777" w:rsidR="000F3FCC" w:rsidRPr="00E522D3" w:rsidRDefault="000F3FCC" w:rsidP="00C128B2">
      <w:pPr>
        <w:widowControl w:val="0"/>
        <w:autoSpaceDE w:val="0"/>
        <w:autoSpaceDN w:val="0"/>
        <w:adjustRightInd w:val="0"/>
        <w:ind w:left="567" w:hanging="567"/>
        <w:jc w:val="both"/>
        <w:rPr>
          <w:noProof/>
        </w:rPr>
      </w:pPr>
    </w:p>
    <w:p w14:paraId="64B00CD0" w14:textId="60DB2FB2" w:rsidR="00C128B2" w:rsidRDefault="00C128B2" w:rsidP="00C128B2">
      <w:pPr>
        <w:widowControl w:val="0"/>
        <w:autoSpaceDE w:val="0"/>
        <w:autoSpaceDN w:val="0"/>
        <w:adjustRightInd w:val="0"/>
        <w:ind w:left="567" w:hanging="567"/>
        <w:jc w:val="both"/>
        <w:rPr>
          <w:noProof/>
        </w:rPr>
      </w:pPr>
      <w:r w:rsidRPr="00E522D3">
        <w:rPr>
          <w:noProof/>
        </w:rPr>
        <w:t xml:space="preserve">Rotundo, L., &amp; Pyrsopoulos, N. (2020). Liver injury induced by paracetamol and challenges associated with intentional and unintentional use. </w:t>
      </w:r>
      <w:r w:rsidRPr="00E522D3">
        <w:rPr>
          <w:i/>
          <w:iCs/>
          <w:noProof/>
        </w:rPr>
        <w:t>World Journal of Hepatology</w:t>
      </w:r>
      <w:r w:rsidRPr="00E522D3">
        <w:rPr>
          <w:noProof/>
        </w:rPr>
        <w:t xml:space="preserve">, </w:t>
      </w:r>
      <w:r w:rsidRPr="00E522D3">
        <w:rPr>
          <w:i/>
          <w:iCs/>
          <w:noProof/>
        </w:rPr>
        <w:t>12</w:t>
      </w:r>
      <w:r w:rsidRPr="00E522D3">
        <w:rPr>
          <w:noProof/>
        </w:rPr>
        <w:t xml:space="preserve">(4), 125–136. </w:t>
      </w:r>
      <w:hyperlink r:id="rId39" w:history="1">
        <w:r w:rsidRPr="00A93A17">
          <w:rPr>
            <w:rStyle w:val="Hyperlink"/>
            <w:noProof/>
          </w:rPr>
          <w:t>https://doi.org/10.4254/wjh.v12.i4.125</w:t>
        </w:r>
      </w:hyperlink>
    </w:p>
    <w:p w14:paraId="3AEE01CC" w14:textId="77777777" w:rsidR="000F3FCC" w:rsidRPr="00E522D3" w:rsidRDefault="000F3FCC" w:rsidP="00C128B2">
      <w:pPr>
        <w:widowControl w:val="0"/>
        <w:autoSpaceDE w:val="0"/>
        <w:autoSpaceDN w:val="0"/>
        <w:adjustRightInd w:val="0"/>
        <w:ind w:left="567" w:hanging="567"/>
        <w:jc w:val="both"/>
        <w:rPr>
          <w:noProof/>
        </w:rPr>
      </w:pPr>
    </w:p>
    <w:p w14:paraId="50E87D6D" w14:textId="0155D547" w:rsidR="00C128B2" w:rsidRDefault="00C128B2" w:rsidP="00C128B2">
      <w:pPr>
        <w:widowControl w:val="0"/>
        <w:autoSpaceDE w:val="0"/>
        <w:autoSpaceDN w:val="0"/>
        <w:adjustRightInd w:val="0"/>
        <w:ind w:left="567" w:hanging="567"/>
        <w:jc w:val="both"/>
        <w:rPr>
          <w:noProof/>
        </w:rPr>
      </w:pPr>
      <w:r w:rsidRPr="00E522D3">
        <w:rPr>
          <w:noProof/>
        </w:rPr>
        <w:t xml:space="preserve">Saeed, M., Khan, M. S., Kamboh, A. A., Alagawany, M., Khafaga, A. F., Noreldin, A. E., Qumar, M., Safdar, M., Hussain, M., Abd El-Hack, M. E., &amp; Chao, S. (2020). L-theanine: </w:t>
      </w:r>
      <w:r w:rsidR="00A93A17">
        <w:rPr>
          <w:noProof/>
        </w:rPr>
        <w:t>A</w:t>
      </w:r>
      <w:r w:rsidRPr="00E522D3">
        <w:rPr>
          <w:noProof/>
        </w:rPr>
        <w:t xml:space="preserve">n astounding sui generis amino acid in poultry nutrition. </w:t>
      </w:r>
      <w:r w:rsidRPr="00E522D3">
        <w:rPr>
          <w:i/>
          <w:iCs/>
          <w:noProof/>
        </w:rPr>
        <w:t>Poultry Science</w:t>
      </w:r>
      <w:r w:rsidRPr="00E522D3">
        <w:rPr>
          <w:noProof/>
        </w:rPr>
        <w:t xml:space="preserve">, </w:t>
      </w:r>
      <w:r w:rsidRPr="00E522D3">
        <w:rPr>
          <w:i/>
          <w:iCs/>
          <w:noProof/>
        </w:rPr>
        <w:t>99</w:t>
      </w:r>
      <w:r w:rsidRPr="00E522D3">
        <w:rPr>
          <w:noProof/>
        </w:rPr>
        <w:t xml:space="preserve">(11), 5625–5636. </w:t>
      </w:r>
      <w:hyperlink r:id="rId40" w:history="1">
        <w:r w:rsidRPr="00A93A17">
          <w:rPr>
            <w:rStyle w:val="Hyperlink"/>
            <w:noProof/>
          </w:rPr>
          <w:t>https://doi.org/10.1016/j.psj.2020.07.016</w:t>
        </w:r>
      </w:hyperlink>
    </w:p>
    <w:p w14:paraId="24CB7717" w14:textId="77777777" w:rsidR="000F3FCC" w:rsidRPr="00E522D3" w:rsidRDefault="000F3FCC" w:rsidP="00C128B2">
      <w:pPr>
        <w:widowControl w:val="0"/>
        <w:autoSpaceDE w:val="0"/>
        <w:autoSpaceDN w:val="0"/>
        <w:adjustRightInd w:val="0"/>
        <w:ind w:left="567" w:hanging="567"/>
        <w:jc w:val="both"/>
        <w:rPr>
          <w:noProof/>
        </w:rPr>
      </w:pPr>
    </w:p>
    <w:p w14:paraId="02208DBA" w14:textId="76FC3083" w:rsidR="00C128B2" w:rsidRDefault="00C128B2" w:rsidP="00C128B2">
      <w:pPr>
        <w:widowControl w:val="0"/>
        <w:autoSpaceDE w:val="0"/>
        <w:autoSpaceDN w:val="0"/>
        <w:adjustRightInd w:val="0"/>
        <w:ind w:left="567" w:hanging="567"/>
        <w:jc w:val="both"/>
        <w:rPr>
          <w:noProof/>
        </w:rPr>
      </w:pPr>
      <w:r w:rsidRPr="00E522D3">
        <w:rPr>
          <w:noProof/>
        </w:rPr>
        <w:t xml:space="preserve">Sarel, Z., &amp; Simanjuntak, K. (2020). Pengaruh </w:t>
      </w:r>
      <w:r w:rsidR="00A93A17" w:rsidRPr="00E522D3">
        <w:rPr>
          <w:noProof/>
        </w:rPr>
        <w:t>pemberian ekstrak teh hij</w:t>
      </w:r>
      <w:r w:rsidRPr="00E522D3">
        <w:rPr>
          <w:noProof/>
        </w:rPr>
        <w:t>au (</w:t>
      </w:r>
      <w:r w:rsidRPr="00B03760">
        <w:rPr>
          <w:i/>
          <w:iCs/>
          <w:noProof/>
        </w:rPr>
        <w:t>Camellia sinensis</w:t>
      </w:r>
      <w:r w:rsidRPr="00E522D3">
        <w:rPr>
          <w:noProof/>
        </w:rPr>
        <w:t xml:space="preserve"> L.) terhadap </w:t>
      </w:r>
      <w:r w:rsidR="00A93A17" w:rsidRPr="00E522D3">
        <w:rPr>
          <w:noProof/>
        </w:rPr>
        <w:t>penurunan kadar kolesterol total tikus wistar (rattus norvegicus) diabetes induksi al</w:t>
      </w:r>
      <w:r w:rsidRPr="00E522D3">
        <w:rPr>
          <w:noProof/>
        </w:rPr>
        <w:t xml:space="preserve">oksan. </w:t>
      </w:r>
      <w:r w:rsidRPr="00E522D3">
        <w:rPr>
          <w:i/>
          <w:iCs/>
          <w:noProof/>
        </w:rPr>
        <w:t>Jurnal Sehat Mandiri</w:t>
      </w:r>
      <w:r w:rsidRPr="00E522D3">
        <w:rPr>
          <w:noProof/>
        </w:rPr>
        <w:t xml:space="preserve">, </w:t>
      </w:r>
      <w:r w:rsidRPr="00E522D3">
        <w:rPr>
          <w:i/>
          <w:iCs/>
          <w:noProof/>
        </w:rPr>
        <w:t>15</w:t>
      </w:r>
      <w:r w:rsidRPr="00E522D3">
        <w:rPr>
          <w:noProof/>
        </w:rPr>
        <w:t xml:space="preserve">(1), 98–111. </w:t>
      </w:r>
      <w:hyperlink r:id="rId41" w:history="1">
        <w:r w:rsidRPr="00A93A17">
          <w:rPr>
            <w:rStyle w:val="Hyperlink"/>
            <w:noProof/>
          </w:rPr>
          <w:t>https://doi.org/10.33761/jsm.v15i1.195</w:t>
        </w:r>
      </w:hyperlink>
    </w:p>
    <w:p w14:paraId="3E3CA256" w14:textId="77777777" w:rsidR="000F3FCC" w:rsidRPr="00E522D3" w:rsidRDefault="000F3FCC" w:rsidP="00C128B2">
      <w:pPr>
        <w:widowControl w:val="0"/>
        <w:autoSpaceDE w:val="0"/>
        <w:autoSpaceDN w:val="0"/>
        <w:adjustRightInd w:val="0"/>
        <w:ind w:left="567" w:hanging="567"/>
        <w:jc w:val="both"/>
        <w:rPr>
          <w:noProof/>
        </w:rPr>
      </w:pPr>
    </w:p>
    <w:p w14:paraId="35E9C4DB" w14:textId="39EFF865" w:rsidR="00C128B2" w:rsidRDefault="00C128B2" w:rsidP="00C128B2">
      <w:pPr>
        <w:widowControl w:val="0"/>
        <w:autoSpaceDE w:val="0"/>
        <w:autoSpaceDN w:val="0"/>
        <w:adjustRightInd w:val="0"/>
        <w:ind w:left="567" w:hanging="567"/>
        <w:jc w:val="both"/>
        <w:rPr>
          <w:noProof/>
        </w:rPr>
      </w:pPr>
      <w:r w:rsidRPr="00E522D3">
        <w:rPr>
          <w:noProof/>
        </w:rPr>
        <w:t>Sestili, P., &amp; Fimognari, C. (2020). Paracetamol-</w:t>
      </w:r>
      <w:r w:rsidR="00A93A17" w:rsidRPr="00E522D3">
        <w:rPr>
          <w:noProof/>
        </w:rPr>
        <w:t>induced glutathione consu</w:t>
      </w:r>
      <w:r w:rsidRPr="00E522D3">
        <w:rPr>
          <w:noProof/>
        </w:rPr>
        <w:t xml:space="preserve">mption: Is </w:t>
      </w:r>
      <w:r w:rsidR="00A93A17" w:rsidRPr="00E522D3">
        <w:rPr>
          <w:noProof/>
        </w:rPr>
        <w:t>there a link with severe</w:t>
      </w:r>
      <w:r w:rsidRPr="00E522D3">
        <w:rPr>
          <w:noProof/>
        </w:rPr>
        <w:t xml:space="preserve"> COVID-19 </w:t>
      </w:r>
      <w:r w:rsidR="00A93A17">
        <w:rPr>
          <w:noProof/>
        </w:rPr>
        <w:t>i</w:t>
      </w:r>
      <w:r w:rsidRPr="00E522D3">
        <w:rPr>
          <w:noProof/>
        </w:rPr>
        <w:t xml:space="preserve">llness? </w:t>
      </w:r>
      <w:r w:rsidRPr="00E522D3">
        <w:rPr>
          <w:i/>
          <w:iCs/>
          <w:noProof/>
        </w:rPr>
        <w:t>Frontiers in Pharmacology</w:t>
      </w:r>
      <w:r w:rsidRPr="00E522D3">
        <w:rPr>
          <w:noProof/>
        </w:rPr>
        <w:t xml:space="preserve">, </w:t>
      </w:r>
      <w:r w:rsidRPr="00E522D3">
        <w:rPr>
          <w:i/>
          <w:iCs/>
          <w:noProof/>
        </w:rPr>
        <w:t>11</w:t>
      </w:r>
      <w:r w:rsidRPr="00E522D3">
        <w:rPr>
          <w:noProof/>
        </w:rPr>
        <w:t xml:space="preserve">(October), 1–7. </w:t>
      </w:r>
      <w:hyperlink r:id="rId42" w:history="1">
        <w:r w:rsidRPr="00A93A17">
          <w:rPr>
            <w:rStyle w:val="Hyperlink"/>
            <w:noProof/>
          </w:rPr>
          <w:t>https://doi.org/10.3389/fphar.2020.579944</w:t>
        </w:r>
      </w:hyperlink>
    </w:p>
    <w:p w14:paraId="45EEC3D1" w14:textId="77777777" w:rsidR="000F3FCC" w:rsidRPr="00E522D3" w:rsidRDefault="000F3FCC" w:rsidP="00C128B2">
      <w:pPr>
        <w:widowControl w:val="0"/>
        <w:autoSpaceDE w:val="0"/>
        <w:autoSpaceDN w:val="0"/>
        <w:adjustRightInd w:val="0"/>
        <w:ind w:left="567" w:hanging="567"/>
        <w:jc w:val="both"/>
        <w:rPr>
          <w:noProof/>
        </w:rPr>
      </w:pPr>
    </w:p>
    <w:p w14:paraId="6431C672" w14:textId="717A74E8" w:rsidR="00C128B2" w:rsidRDefault="00C128B2" w:rsidP="00C128B2">
      <w:pPr>
        <w:widowControl w:val="0"/>
        <w:autoSpaceDE w:val="0"/>
        <w:autoSpaceDN w:val="0"/>
        <w:adjustRightInd w:val="0"/>
        <w:ind w:left="567" w:hanging="567"/>
        <w:jc w:val="both"/>
        <w:rPr>
          <w:noProof/>
        </w:rPr>
      </w:pPr>
      <w:r w:rsidRPr="00E522D3">
        <w:rPr>
          <w:noProof/>
        </w:rPr>
        <w:t xml:space="preserve">Shahdkar, M., Orang Goorabzarmakhi, M., Shafizadeh, M., Joukar, F., Maroufizadeh, S., Faraji, N., Zeinali, T., &amp; Mansour-Ghanaei, F. (2025). Association between dyslipidemia and elevated liver enzymes: A cross-sectional study from the PERSIAN Guilan cohort study. </w:t>
      </w:r>
      <w:r w:rsidRPr="00E522D3">
        <w:rPr>
          <w:i/>
          <w:iCs/>
          <w:noProof/>
        </w:rPr>
        <w:t>Endocrine and Metabolic Science</w:t>
      </w:r>
      <w:r w:rsidRPr="00E522D3">
        <w:rPr>
          <w:noProof/>
        </w:rPr>
        <w:t xml:space="preserve">, </w:t>
      </w:r>
      <w:r w:rsidRPr="00E522D3">
        <w:rPr>
          <w:i/>
          <w:iCs/>
          <w:noProof/>
        </w:rPr>
        <w:t>19</w:t>
      </w:r>
      <w:r w:rsidRPr="00E522D3">
        <w:rPr>
          <w:noProof/>
        </w:rPr>
        <w:t xml:space="preserve">(July), 100272. </w:t>
      </w:r>
      <w:hyperlink r:id="rId43" w:history="1">
        <w:r w:rsidRPr="00A93A17">
          <w:rPr>
            <w:rStyle w:val="Hyperlink"/>
            <w:noProof/>
          </w:rPr>
          <w:t>https://doi.org/10.1016/j.endmts.2025.100272</w:t>
        </w:r>
      </w:hyperlink>
    </w:p>
    <w:p w14:paraId="33C6ADB9" w14:textId="77777777" w:rsidR="000F3FCC" w:rsidRPr="00E522D3" w:rsidRDefault="000F3FCC" w:rsidP="00C128B2">
      <w:pPr>
        <w:widowControl w:val="0"/>
        <w:autoSpaceDE w:val="0"/>
        <w:autoSpaceDN w:val="0"/>
        <w:adjustRightInd w:val="0"/>
        <w:ind w:left="567" w:hanging="567"/>
        <w:jc w:val="both"/>
        <w:rPr>
          <w:noProof/>
        </w:rPr>
      </w:pPr>
    </w:p>
    <w:p w14:paraId="6496FFCB" w14:textId="17FA144E" w:rsidR="00C128B2" w:rsidRDefault="00C128B2" w:rsidP="00C128B2">
      <w:pPr>
        <w:widowControl w:val="0"/>
        <w:autoSpaceDE w:val="0"/>
        <w:autoSpaceDN w:val="0"/>
        <w:adjustRightInd w:val="0"/>
        <w:ind w:left="567" w:hanging="567"/>
        <w:jc w:val="both"/>
        <w:rPr>
          <w:noProof/>
        </w:rPr>
      </w:pPr>
      <w:r w:rsidRPr="00E522D3">
        <w:rPr>
          <w:noProof/>
        </w:rPr>
        <w:t xml:space="preserve">Shen, X. L., Guo, Y. N., Lu, M. H., Ding, K. N., Liang, S. S., Mou, R. W., Yuan, S., He, Y. M., &amp; Tang, L. P. (2023). Acetaminophen-induced hepatotoxicity predominantly via inhibiting Nrf2 antioxidative pathway and activating TLR4-NF-κB-MAPK inflammatory response in mice. </w:t>
      </w:r>
      <w:r w:rsidRPr="00E522D3">
        <w:rPr>
          <w:i/>
          <w:iCs/>
          <w:noProof/>
        </w:rPr>
        <w:t>Ecotoxicology and Environmental Safety</w:t>
      </w:r>
      <w:r w:rsidRPr="00E522D3">
        <w:rPr>
          <w:noProof/>
        </w:rPr>
        <w:t xml:space="preserve">, </w:t>
      </w:r>
      <w:r w:rsidRPr="00E522D3">
        <w:rPr>
          <w:i/>
          <w:iCs/>
          <w:noProof/>
        </w:rPr>
        <w:t>252</w:t>
      </w:r>
      <w:r w:rsidRPr="00E522D3">
        <w:rPr>
          <w:noProof/>
        </w:rPr>
        <w:t xml:space="preserve">, 114590. </w:t>
      </w:r>
      <w:hyperlink r:id="rId44" w:history="1">
        <w:r w:rsidRPr="00A93A17">
          <w:rPr>
            <w:rStyle w:val="Hyperlink"/>
            <w:noProof/>
          </w:rPr>
          <w:t>https://doi.org/10.1016/j.ecoenv.2023.114590</w:t>
        </w:r>
      </w:hyperlink>
    </w:p>
    <w:p w14:paraId="629A84F7" w14:textId="77777777" w:rsidR="000F3FCC" w:rsidRPr="00E522D3" w:rsidRDefault="000F3FCC" w:rsidP="00C128B2">
      <w:pPr>
        <w:widowControl w:val="0"/>
        <w:autoSpaceDE w:val="0"/>
        <w:autoSpaceDN w:val="0"/>
        <w:adjustRightInd w:val="0"/>
        <w:ind w:left="567" w:hanging="567"/>
        <w:jc w:val="both"/>
        <w:rPr>
          <w:noProof/>
        </w:rPr>
      </w:pPr>
    </w:p>
    <w:p w14:paraId="0FDFFCAB" w14:textId="7698181A" w:rsidR="00C128B2" w:rsidRDefault="00C128B2" w:rsidP="00C128B2">
      <w:pPr>
        <w:widowControl w:val="0"/>
        <w:autoSpaceDE w:val="0"/>
        <w:autoSpaceDN w:val="0"/>
        <w:adjustRightInd w:val="0"/>
        <w:ind w:left="567" w:hanging="567"/>
        <w:jc w:val="both"/>
        <w:rPr>
          <w:noProof/>
        </w:rPr>
      </w:pPr>
      <w:r w:rsidRPr="00E522D3">
        <w:rPr>
          <w:noProof/>
        </w:rPr>
        <w:t xml:space="preserve">Shivam, K. S., Gourav, D. K., Kumar, M., Prajapati, K., Nag, G., Verma, A., Kumar, M., Minz, S., Yadav, J. K., Kumari, T., Singh, K., Kumari, P., Gupta, P. K., &amp; Kumari, K. (2025). </w:t>
      </w:r>
      <w:r w:rsidR="00A93A17" w:rsidRPr="00A93A17">
        <w:rPr>
          <w:noProof/>
        </w:rPr>
        <w:t xml:space="preserve">paracetamol-induced toxicity : </w:t>
      </w:r>
      <w:r w:rsidR="00A93A17">
        <w:rPr>
          <w:noProof/>
        </w:rPr>
        <w:t>A</w:t>
      </w:r>
      <w:r w:rsidR="00A93A17" w:rsidRPr="00A93A17">
        <w:rPr>
          <w:noProof/>
        </w:rPr>
        <w:t xml:space="preserve"> review of the side effects associated with excessive consumption and mishandling</w:t>
      </w:r>
      <w:r w:rsidRPr="00E522D3">
        <w:rPr>
          <w:noProof/>
        </w:rPr>
        <w:t xml:space="preserve">. </w:t>
      </w:r>
      <w:r w:rsidR="00A93A17" w:rsidRPr="00A93A17">
        <w:rPr>
          <w:noProof/>
        </w:rPr>
        <w:br/>
      </w:r>
      <w:r w:rsidR="00A93A17" w:rsidRPr="00A93A17">
        <w:rPr>
          <w:i/>
          <w:iCs/>
          <w:noProof/>
        </w:rPr>
        <w:t>International Journal of Scientific Research and Technology</w:t>
      </w:r>
      <w:r w:rsidR="00A93A17">
        <w:rPr>
          <w:i/>
          <w:iCs/>
          <w:noProof/>
        </w:rPr>
        <w:t>,</w:t>
      </w:r>
      <w:r w:rsidR="00A93A17" w:rsidRPr="00A93A17">
        <w:rPr>
          <w:i/>
          <w:iCs/>
          <w:noProof/>
        </w:rPr>
        <w:t xml:space="preserve"> </w:t>
      </w:r>
      <w:r w:rsidRPr="00E522D3">
        <w:rPr>
          <w:i/>
          <w:iCs/>
          <w:noProof/>
        </w:rPr>
        <w:t>2</w:t>
      </w:r>
      <w:r w:rsidRPr="00E522D3">
        <w:rPr>
          <w:noProof/>
        </w:rPr>
        <w:t>(7), 427–436.</w:t>
      </w:r>
    </w:p>
    <w:p w14:paraId="6193B484" w14:textId="77777777" w:rsidR="000F3FCC" w:rsidRDefault="000F3FCC" w:rsidP="00C128B2">
      <w:pPr>
        <w:widowControl w:val="0"/>
        <w:autoSpaceDE w:val="0"/>
        <w:autoSpaceDN w:val="0"/>
        <w:adjustRightInd w:val="0"/>
        <w:ind w:left="567" w:hanging="567"/>
        <w:jc w:val="both"/>
        <w:rPr>
          <w:noProof/>
        </w:rPr>
      </w:pPr>
    </w:p>
    <w:p w14:paraId="1EECF182" w14:textId="48237CE6" w:rsidR="00C128B2" w:rsidRDefault="00C128B2" w:rsidP="00C128B2">
      <w:pPr>
        <w:widowControl w:val="0"/>
        <w:autoSpaceDE w:val="0"/>
        <w:autoSpaceDN w:val="0"/>
        <w:adjustRightInd w:val="0"/>
        <w:ind w:left="567" w:hanging="567"/>
        <w:jc w:val="both"/>
        <w:rPr>
          <w:noProof/>
        </w:rPr>
      </w:pPr>
      <w:r w:rsidRPr="00732B70">
        <w:rPr>
          <w:noProof/>
        </w:rPr>
        <w:t xml:space="preserve">Singh, R., &amp; Shukla, R. (2020). Anti hyperlipidemic activity of </w:t>
      </w:r>
      <w:r w:rsidRPr="00B03760">
        <w:rPr>
          <w:i/>
          <w:iCs/>
          <w:noProof/>
        </w:rPr>
        <w:t xml:space="preserve">Saccharum officinarum </w:t>
      </w:r>
      <w:r w:rsidRPr="00732B70">
        <w:rPr>
          <w:noProof/>
        </w:rPr>
        <w:t xml:space="preserve">Linn fresh juice in paracetamol induced hyperlipidemic rats. </w:t>
      </w:r>
      <w:r w:rsidRPr="00A93A17">
        <w:rPr>
          <w:i/>
          <w:iCs/>
          <w:noProof/>
        </w:rPr>
        <w:t>International Journal of Biology, Pharmacy and Allied Sciences (IJBPAS)</w:t>
      </w:r>
      <w:r w:rsidRPr="00732B70">
        <w:rPr>
          <w:noProof/>
        </w:rPr>
        <w:t xml:space="preserve">, </w:t>
      </w:r>
      <w:r w:rsidRPr="00732B70">
        <w:rPr>
          <w:i/>
          <w:iCs/>
          <w:noProof/>
        </w:rPr>
        <w:t>9</w:t>
      </w:r>
      <w:r w:rsidRPr="00732B70">
        <w:rPr>
          <w:noProof/>
        </w:rPr>
        <w:t xml:space="preserve">(10), 2557–2566. </w:t>
      </w:r>
      <w:hyperlink r:id="rId45" w:history="1">
        <w:r w:rsidRPr="00A93A17">
          <w:rPr>
            <w:rStyle w:val="Hyperlink"/>
            <w:noProof/>
          </w:rPr>
          <w:t>https://doi.org/10.31032/IJBPAS/2020/9.10.5201</w:t>
        </w:r>
      </w:hyperlink>
    </w:p>
    <w:p w14:paraId="3F085678" w14:textId="77777777" w:rsidR="00A93A17" w:rsidRDefault="00A93A17" w:rsidP="00C128B2">
      <w:pPr>
        <w:widowControl w:val="0"/>
        <w:autoSpaceDE w:val="0"/>
        <w:autoSpaceDN w:val="0"/>
        <w:adjustRightInd w:val="0"/>
        <w:ind w:left="567" w:hanging="567"/>
        <w:jc w:val="both"/>
        <w:rPr>
          <w:noProof/>
        </w:rPr>
      </w:pPr>
    </w:p>
    <w:p w14:paraId="4369072D" w14:textId="77777777" w:rsidR="000F3FCC" w:rsidRPr="00E522D3" w:rsidRDefault="000F3FCC" w:rsidP="00C128B2">
      <w:pPr>
        <w:widowControl w:val="0"/>
        <w:autoSpaceDE w:val="0"/>
        <w:autoSpaceDN w:val="0"/>
        <w:adjustRightInd w:val="0"/>
        <w:ind w:left="567" w:hanging="567"/>
        <w:jc w:val="both"/>
        <w:rPr>
          <w:noProof/>
        </w:rPr>
      </w:pPr>
    </w:p>
    <w:p w14:paraId="02F9C359" w14:textId="57A4FEBF" w:rsidR="00C128B2" w:rsidRDefault="00C128B2" w:rsidP="00C128B2">
      <w:pPr>
        <w:widowControl w:val="0"/>
        <w:autoSpaceDE w:val="0"/>
        <w:autoSpaceDN w:val="0"/>
        <w:adjustRightInd w:val="0"/>
        <w:ind w:left="567" w:hanging="567"/>
        <w:jc w:val="both"/>
        <w:rPr>
          <w:noProof/>
        </w:rPr>
      </w:pPr>
      <w:r w:rsidRPr="00E522D3">
        <w:rPr>
          <w:noProof/>
        </w:rPr>
        <w:lastRenderedPageBreak/>
        <w:t xml:space="preserve">Tindage, D. P., Dewi, R., Manalu, J. L., Kedokteran, F., &amp; Kesehatan, I. (2021). Green </w:t>
      </w:r>
      <w:r w:rsidR="00A93A17" w:rsidRPr="00E522D3">
        <w:rPr>
          <w:noProof/>
        </w:rPr>
        <w:t>tea and black tea can lower the levels of ldl cholesterol in hyperlipidemic animal mode</w:t>
      </w:r>
      <w:r w:rsidRPr="00E522D3">
        <w:rPr>
          <w:noProof/>
        </w:rPr>
        <w:t xml:space="preserve">l. </w:t>
      </w:r>
      <w:r w:rsidRPr="00E522D3">
        <w:rPr>
          <w:i/>
          <w:iCs/>
          <w:noProof/>
        </w:rPr>
        <w:t>Damianus Journal of Medicine</w:t>
      </w:r>
      <w:r w:rsidRPr="00E522D3">
        <w:rPr>
          <w:noProof/>
        </w:rPr>
        <w:t xml:space="preserve">, </w:t>
      </w:r>
      <w:r w:rsidRPr="00E522D3">
        <w:rPr>
          <w:i/>
          <w:iCs/>
          <w:noProof/>
        </w:rPr>
        <w:t>20</w:t>
      </w:r>
      <w:r w:rsidRPr="00E522D3">
        <w:rPr>
          <w:noProof/>
        </w:rPr>
        <w:t>(1), 40–45.</w:t>
      </w:r>
    </w:p>
    <w:p w14:paraId="0A413BAA" w14:textId="77777777" w:rsidR="000F3FCC" w:rsidRPr="00E522D3" w:rsidRDefault="000F3FCC" w:rsidP="00C128B2">
      <w:pPr>
        <w:widowControl w:val="0"/>
        <w:autoSpaceDE w:val="0"/>
        <w:autoSpaceDN w:val="0"/>
        <w:adjustRightInd w:val="0"/>
        <w:ind w:left="567" w:hanging="567"/>
        <w:jc w:val="both"/>
        <w:rPr>
          <w:noProof/>
        </w:rPr>
      </w:pPr>
    </w:p>
    <w:p w14:paraId="42C7ECDF" w14:textId="6A2A03F5" w:rsidR="00C128B2" w:rsidRDefault="00C128B2" w:rsidP="00C128B2">
      <w:pPr>
        <w:widowControl w:val="0"/>
        <w:autoSpaceDE w:val="0"/>
        <w:autoSpaceDN w:val="0"/>
        <w:adjustRightInd w:val="0"/>
        <w:ind w:left="567" w:hanging="567"/>
        <w:jc w:val="both"/>
        <w:rPr>
          <w:noProof/>
        </w:rPr>
      </w:pPr>
      <w:r w:rsidRPr="00E522D3">
        <w:rPr>
          <w:noProof/>
        </w:rPr>
        <w:t>Wang, Q., Yu, J., Lin, W., Ahammed, G. J., Wang, W., Ma, R., Shi, M., Ge, S., Mohamed, A. S., Wang, L., Li, Q., &amp; Li, X. (2025). L-</w:t>
      </w:r>
      <w:r w:rsidR="00A93A17" w:rsidRPr="00E522D3">
        <w:rPr>
          <w:noProof/>
        </w:rPr>
        <w:t xml:space="preserve">theanine metabolism in tea plants: </w:t>
      </w:r>
      <w:r w:rsidR="00A93A17">
        <w:rPr>
          <w:noProof/>
        </w:rPr>
        <w:t>B</w:t>
      </w:r>
      <w:r w:rsidR="00A93A17" w:rsidRPr="00E522D3">
        <w:rPr>
          <w:noProof/>
        </w:rPr>
        <w:t>iological functions and stress tolerance mech</w:t>
      </w:r>
      <w:r w:rsidRPr="00E522D3">
        <w:rPr>
          <w:noProof/>
        </w:rPr>
        <w:t xml:space="preserve">anisms. </w:t>
      </w:r>
      <w:r w:rsidRPr="00E522D3">
        <w:rPr>
          <w:i/>
          <w:iCs/>
          <w:noProof/>
        </w:rPr>
        <w:t>Plants</w:t>
      </w:r>
      <w:r w:rsidRPr="00E522D3">
        <w:rPr>
          <w:noProof/>
        </w:rPr>
        <w:t xml:space="preserve">, </w:t>
      </w:r>
      <w:r w:rsidRPr="00E522D3">
        <w:rPr>
          <w:i/>
          <w:iCs/>
          <w:noProof/>
        </w:rPr>
        <w:t>14</w:t>
      </w:r>
      <w:r w:rsidRPr="00E522D3">
        <w:rPr>
          <w:noProof/>
        </w:rPr>
        <w:t xml:space="preserve">(3). </w:t>
      </w:r>
      <w:hyperlink r:id="rId46" w:history="1">
        <w:r w:rsidRPr="00A93A17">
          <w:rPr>
            <w:rStyle w:val="Hyperlink"/>
            <w:noProof/>
          </w:rPr>
          <w:t>https://doi.org/10.3390/plants14030492</w:t>
        </w:r>
      </w:hyperlink>
    </w:p>
    <w:p w14:paraId="5F00A91A" w14:textId="77777777" w:rsidR="000F3FCC" w:rsidRPr="00E522D3" w:rsidRDefault="000F3FCC" w:rsidP="00C128B2">
      <w:pPr>
        <w:widowControl w:val="0"/>
        <w:autoSpaceDE w:val="0"/>
        <w:autoSpaceDN w:val="0"/>
        <w:adjustRightInd w:val="0"/>
        <w:ind w:left="567" w:hanging="567"/>
        <w:jc w:val="both"/>
        <w:rPr>
          <w:noProof/>
        </w:rPr>
      </w:pPr>
    </w:p>
    <w:p w14:paraId="0AD7020E" w14:textId="584B09DA" w:rsidR="00C128B2" w:rsidRDefault="00C128B2" w:rsidP="00C128B2">
      <w:pPr>
        <w:widowControl w:val="0"/>
        <w:autoSpaceDE w:val="0"/>
        <w:autoSpaceDN w:val="0"/>
        <w:adjustRightInd w:val="0"/>
        <w:ind w:left="567" w:hanging="567"/>
        <w:jc w:val="both"/>
        <w:rPr>
          <w:noProof/>
        </w:rPr>
      </w:pPr>
      <w:r w:rsidRPr="00E522D3">
        <w:rPr>
          <w:noProof/>
        </w:rPr>
        <w:t xml:space="preserve">Xu, L., &amp; Wang, H. (2023). A dual role of inflammation in acetaminophen-induced liver injury. </w:t>
      </w:r>
      <w:r w:rsidRPr="00E522D3">
        <w:rPr>
          <w:i/>
          <w:iCs/>
          <w:noProof/>
        </w:rPr>
        <w:t>Liver Research</w:t>
      </w:r>
      <w:r w:rsidRPr="00E522D3">
        <w:rPr>
          <w:noProof/>
        </w:rPr>
        <w:t xml:space="preserve">, </w:t>
      </w:r>
      <w:r w:rsidRPr="00E522D3">
        <w:rPr>
          <w:i/>
          <w:iCs/>
          <w:noProof/>
        </w:rPr>
        <w:t>7</w:t>
      </w:r>
      <w:r w:rsidRPr="00E522D3">
        <w:rPr>
          <w:noProof/>
        </w:rPr>
        <w:t xml:space="preserve">(1), 9–15. </w:t>
      </w:r>
      <w:hyperlink r:id="rId47" w:history="1">
        <w:r w:rsidRPr="00A93A17">
          <w:rPr>
            <w:rStyle w:val="Hyperlink"/>
            <w:noProof/>
          </w:rPr>
          <w:t>https://doi.org/10.1016/j.livres.2023.03.001</w:t>
        </w:r>
      </w:hyperlink>
    </w:p>
    <w:p w14:paraId="1C09A591" w14:textId="77777777" w:rsidR="000F3FCC" w:rsidRPr="00E522D3" w:rsidRDefault="000F3FCC" w:rsidP="00C128B2">
      <w:pPr>
        <w:widowControl w:val="0"/>
        <w:autoSpaceDE w:val="0"/>
        <w:autoSpaceDN w:val="0"/>
        <w:adjustRightInd w:val="0"/>
        <w:ind w:left="567" w:hanging="567"/>
        <w:jc w:val="both"/>
        <w:rPr>
          <w:noProof/>
        </w:rPr>
      </w:pPr>
    </w:p>
    <w:p w14:paraId="757691CC" w14:textId="5A57948C" w:rsidR="00C128B2" w:rsidRDefault="00C128B2" w:rsidP="00C128B2">
      <w:pPr>
        <w:widowControl w:val="0"/>
        <w:autoSpaceDE w:val="0"/>
        <w:autoSpaceDN w:val="0"/>
        <w:adjustRightInd w:val="0"/>
        <w:ind w:left="567" w:hanging="567"/>
        <w:jc w:val="both"/>
        <w:rPr>
          <w:noProof/>
        </w:rPr>
      </w:pPr>
      <w:r w:rsidRPr="00E522D3">
        <w:rPr>
          <w:noProof/>
        </w:rPr>
        <w:t xml:space="preserve">Xu, X. Y., Zheng, J., Meng, J. M., Gan, R. Y., Mao, Q. Q., Shang, A., Li, B. Y., Wei, X. L., &amp; Li, H. Bin. (2019). Effects of food processing on in vivo antioxidant and hepatoprotective properties of green tea extracts. </w:t>
      </w:r>
      <w:r w:rsidRPr="00E522D3">
        <w:rPr>
          <w:i/>
          <w:iCs/>
          <w:noProof/>
        </w:rPr>
        <w:t>Antioxidants</w:t>
      </w:r>
      <w:r w:rsidRPr="00E522D3">
        <w:rPr>
          <w:noProof/>
        </w:rPr>
        <w:t xml:space="preserve">, </w:t>
      </w:r>
      <w:r w:rsidRPr="00E522D3">
        <w:rPr>
          <w:i/>
          <w:iCs/>
          <w:noProof/>
        </w:rPr>
        <w:t>8</w:t>
      </w:r>
      <w:r w:rsidRPr="00E522D3">
        <w:rPr>
          <w:noProof/>
        </w:rPr>
        <w:t xml:space="preserve">(12). </w:t>
      </w:r>
      <w:hyperlink r:id="rId48" w:history="1">
        <w:r w:rsidRPr="00A93A17">
          <w:rPr>
            <w:rStyle w:val="Hyperlink"/>
            <w:noProof/>
          </w:rPr>
          <w:t>https://doi.org/10.3390/antiox8120572</w:t>
        </w:r>
      </w:hyperlink>
    </w:p>
    <w:p w14:paraId="53BBC544" w14:textId="77777777" w:rsidR="000F3FCC" w:rsidRPr="00E522D3" w:rsidRDefault="000F3FCC" w:rsidP="00C128B2">
      <w:pPr>
        <w:widowControl w:val="0"/>
        <w:autoSpaceDE w:val="0"/>
        <w:autoSpaceDN w:val="0"/>
        <w:adjustRightInd w:val="0"/>
        <w:ind w:left="567" w:hanging="567"/>
        <w:jc w:val="both"/>
        <w:rPr>
          <w:noProof/>
        </w:rPr>
      </w:pPr>
    </w:p>
    <w:p w14:paraId="60C44095" w14:textId="09A41B7D" w:rsidR="00C128B2" w:rsidRPr="00E522D3" w:rsidRDefault="00C128B2" w:rsidP="00C128B2">
      <w:pPr>
        <w:widowControl w:val="0"/>
        <w:autoSpaceDE w:val="0"/>
        <w:autoSpaceDN w:val="0"/>
        <w:adjustRightInd w:val="0"/>
        <w:ind w:left="567" w:hanging="567"/>
        <w:jc w:val="both"/>
        <w:rPr>
          <w:noProof/>
        </w:rPr>
      </w:pPr>
      <w:r w:rsidRPr="00E522D3">
        <w:rPr>
          <w:noProof/>
        </w:rPr>
        <w:t xml:space="preserve">Zheng, X. Q., Zhang, X. H., Gao, H. Q., Huang, L. Y., Ye, J. J., Ye, J. H., Lu, J. L., Ma, S. C., &amp; Liang, Y. R. (2024). Green </w:t>
      </w:r>
      <w:r w:rsidR="00A93A17" w:rsidRPr="00E522D3">
        <w:rPr>
          <w:noProof/>
        </w:rPr>
        <w:t>tea catechins and skin h</w:t>
      </w:r>
      <w:r w:rsidRPr="00E522D3">
        <w:rPr>
          <w:noProof/>
        </w:rPr>
        <w:t xml:space="preserve">ealth. </w:t>
      </w:r>
      <w:r w:rsidRPr="00E522D3">
        <w:rPr>
          <w:i/>
          <w:iCs/>
          <w:noProof/>
        </w:rPr>
        <w:t>Antioxidants</w:t>
      </w:r>
      <w:r w:rsidRPr="00E522D3">
        <w:rPr>
          <w:noProof/>
        </w:rPr>
        <w:t xml:space="preserve">, </w:t>
      </w:r>
      <w:r w:rsidRPr="00E522D3">
        <w:rPr>
          <w:i/>
          <w:iCs/>
          <w:noProof/>
        </w:rPr>
        <w:t>13</w:t>
      </w:r>
      <w:r w:rsidRPr="00E522D3">
        <w:rPr>
          <w:noProof/>
        </w:rPr>
        <w:t xml:space="preserve">(12). </w:t>
      </w:r>
      <w:hyperlink r:id="rId49" w:history="1">
        <w:r w:rsidRPr="00A93A17">
          <w:rPr>
            <w:rStyle w:val="Hyperlink"/>
            <w:noProof/>
          </w:rPr>
          <w:t>https://doi.org/10.3390/antiox13121506</w:t>
        </w:r>
      </w:hyperlink>
    </w:p>
    <w:p w14:paraId="63EE8F89" w14:textId="77777777" w:rsidR="00C128B2" w:rsidRPr="006C21A7" w:rsidRDefault="00C128B2" w:rsidP="00C128B2">
      <w:pPr>
        <w:ind w:left="567" w:hanging="567"/>
      </w:pPr>
      <w:r>
        <w:fldChar w:fldCharType="end"/>
      </w:r>
    </w:p>
    <w:p w14:paraId="6DF59444" w14:textId="2F38C327" w:rsidR="00277E14" w:rsidRPr="00277E14" w:rsidRDefault="00277E14" w:rsidP="00C128B2">
      <w:pPr>
        <w:widowControl w:val="0"/>
        <w:autoSpaceDE w:val="0"/>
        <w:autoSpaceDN w:val="0"/>
        <w:adjustRightInd w:val="0"/>
        <w:spacing w:line="240" w:lineRule="atLeast"/>
        <w:ind w:left="567" w:hanging="567"/>
        <w:jc w:val="both"/>
      </w:pPr>
    </w:p>
    <w:sectPr w:rsidR="00277E14" w:rsidRPr="00277E14" w:rsidSect="00C52AEF">
      <w:headerReference w:type="default" r:id="rId50"/>
      <w:type w:val="continuous"/>
      <w:pgSz w:w="11907" w:h="16839" w:code="9"/>
      <w:pgMar w:top="1701" w:right="1701" w:bottom="1701" w:left="1701"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CD0B" w14:textId="77777777" w:rsidR="00EE2D14" w:rsidRDefault="00EE2D14" w:rsidP="004B6F85">
      <w:r>
        <w:separator/>
      </w:r>
    </w:p>
  </w:endnote>
  <w:endnote w:type="continuationSeparator" w:id="0">
    <w:p w14:paraId="384B6846" w14:textId="77777777" w:rsidR="00EE2D14" w:rsidRDefault="00EE2D14" w:rsidP="004B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3644" w14:textId="77777777" w:rsidR="00D22777" w:rsidRPr="00D22777" w:rsidRDefault="00D22777" w:rsidP="00D22777">
    <w:pPr>
      <w:pStyle w:val="Footer"/>
      <w:pBdr>
        <w:top w:val="single" w:sz="4" w:space="1" w:color="D9D9D9" w:themeColor="background1" w:themeShade="D9"/>
      </w:pBdr>
      <w:jc w:val="right"/>
      <w:rPr>
        <w:sz w:val="20"/>
        <w:lang w:val="en-GB"/>
      </w:rPr>
    </w:pPr>
    <w:proofErr w:type="gramStart"/>
    <w:r w:rsidRPr="005E6F1F">
      <w:rPr>
        <w:sz w:val="20"/>
      </w:rPr>
      <w:t>http://jurnalbidankestrad.com/index.php/jkk  |</w:t>
    </w:r>
    <w:proofErr w:type="gramEnd"/>
    <w:r w:rsidRPr="005E6F1F">
      <w:rPr>
        <w:sz w:val="20"/>
      </w:rPr>
      <w:t xml:space="preserve">  </w:t>
    </w:r>
    <w:r w:rsidRPr="005E6F1F">
      <w:rPr>
        <w:sz w:val="20"/>
      </w:rPr>
      <w:fldChar w:fldCharType="begin"/>
    </w:r>
    <w:r w:rsidRPr="005E6F1F">
      <w:rPr>
        <w:sz w:val="20"/>
      </w:rPr>
      <w:instrText xml:space="preserve"> PAGE   \* MERGEFORMAT </w:instrText>
    </w:r>
    <w:r w:rsidRPr="005E6F1F">
      <w:rPr>
        <w:sz w:val="20"/>
      </w:rPr>
      <w:fldChar w:fldCharType="separate"/>
    </w:r>
    <w:r w:rsidR="00941BC9">
      <w:rPr>
        <w:noProof/>
        <w:sz w:val="20"/>
      </w:rPr>
      <w:t>1</w:t>
    </w:r>
    <w:r w:rsidRPr="005E6F1F">
      <w:rPr>
        <w:sz w:val="20"/>
      </w:rPr>
      <w:fldChar w:fldCharType="end"/>
    </w:r>
    <w:r w:rsidRPr="005E6F1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AF27" w14:textId="77777777" w:rsidR="00EE2D14" w:rsidRDefault="00EE2D14" w:rsidP="004B6F85">
      <w:r>
        <w:separator/>
      </w:r>
    </w:p>
  </w:footnote>
  <w:footnote w:type="continuationSeparator" w:id="0">
    <w:p w14:paraId="0D116745" w14:textId="77777777" w:rsidR="00EE2D14" w:rsidRDefault="00EE2D14" w:rsidP="004B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2711" w14:textId="77777777" w:rsidR="003C5562" w:rsidRPr="00736ABE" w:rsidRDefault="003C5562" w:rsidP="003C5562">
    <w:pPr>
      <w:pStyle w:val="Header"/>
    </w:pPr>
    <w:r>
      <w:rPr>
        <w:noProof/>
        <w:lang w:eastAsia="en-US"/>
      </w:rPr>
      <w:drawing>
        <wp:anchor distT="0" distB="0" distL="114300" distR="114300" simplePos="0" relativeHeight="251659264" behindDoc="0" locked="0" layoutInCell="1" allowOverlap="1" wp14:anchorId="209FC1A7" wp14:editId="2BD4E408">
          <wp:simplePos x="0" y="0"/>
          <wp:positionH relativeFrom="margin">
            <wp:posOffset>11430</wp:posOffset>
          </wp:positionH>
          <wp:positionV relativeFrom="margin">
            <wp:posOffset>-612140</wp:posOffset>
          </wp:positionV>
          <wp:extent cx="2429510" cy="431800"/>
          <wp:effectExtent l="0" t="0" r="8890" b="6350"/>
          <wp:wrapSquare wrapText="bothSides"/>
          <wp:docPr id="11" name="Picture 11" descr="D:\11a80cd7-b4e1-4217-806f-65ea54d7cf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11a80cd7-b4e1-4217-806f-65ea54d7cf4a.jpg"/>
                  <pic:cNvPicPr>
                    <a:picLocks noChangeAspect="1" noChangeArrowheads="1"/>
                  </pic:cNvPicPr>
                </pic:nvPicPr>
                <pic:blipFill>
                  <a:blip r:embed="rId1" cstate="print">
                    <a:clrChange>
                      <a:clrFrom>
                        <a:srgbClr val="F7F7F9"/>
                      </a:clrFrom>
                      <a:clrTo>
                        <a:srgbClr val="F7F7F9">
                          <a:alpha val="0"/>
                        </a:srgbClr>
                      </a:clrTo>
                    </a:clrChange>
                    <a:extLst>
                      <a:ext uri="{28A0092B-C50C-407E-A947-70E740481C1C}">
                        <a14:useLocalDpi xmlns:a14="http://schemas.microsoft.com/office/drawing/2010/main" val="0"/>
                      </a:ext>
                    </a:extLst>
                  </a:blip>
                  <a:srcRect/>
                  <a:stretch>
                    <a:fillRect/>
                  </a:stretch>
                </pic:blipFill>
                <pic:spPr bwMode="auto">
                  <a:xfrm>
                    <a:off x="0" y="0"/>
                    <a:ext cx="2429510" cy="431800"/>
                  </a:xfrm>
                  <a:prstGeom prst="rect">
                    <a:avLst/>
                  </a:prstGeom>
                  <a:noFill/>
                  <a:ln>
                    <a:noFill/>
                  </a:ln>
                </pic:spPr>
              </pic:pic>
            </a:graphicData>
          </a:graphic>
        </wp:anchor>
      </w:drawing>
    </w:r>
    <w:r>
      <w:rPr>
        <w:noProof/>
        <w:lang w:eastAsia="en-US"/>
      </w:rPr>
      <mc:AlternateContent>
        <mc:Choice Requires="wps">
          <w:drawing>
            <wp:anchor distT="0" distB="0" distL="114300" distR="114300" simplePos="0" relativeHeight="251660288" behindDoc="0" locked="0" layoutInCell="1" allowOverlap="1" wp14:anchorId="213CE1DF" wp14:editId="37B1EF1F">
              <wp:simplePos x="0" y="0"/>
              <wp:positionH relativeFrom="column">
                <wp:posOffset>2520315</wp:posOffset>
              </wp:positionH>
              <wp:positionV relativeFrom="paragraph">
                <wp:posOffset>-128270</wp:posOffset>
              </wp:positionV>
              <wp:extent cx="3195955" cy="720090"/>
              <wp:effectExtent l="0" t="0" r="4445" b="38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7200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EC7AF76" w14:textId="77777777" w:rsidR="003C5562" w:rsidRPr="0000604F" w:rsidRDefault="003C5562" w:rsidP="003C5562">
                          <w:pPr>
                            <w:jc w:val="both"/>
                            <w:rPr>
                              <w:rFonts w:eastAsia="Adobe Heiti Std R"/>
                              <w:sz w:val="20"/>
                            </w:rPr>
                          </w:pPr>
                          <w:r w:rsidRPr="0000604F">
                            <w:rPr>
                              <w:rFonts w:eastAsia="Adobe Heiti Std R"/>
                              <w:sz w:val="20"/>
                            </w:rPr>
                            <w:t>Jurnal Kebidanan dan Kesehatan Tradisional</w:t>
                          </w:r>
                        </w:p>
                        <w:p w14:paraId="2DA32E4A" w14:textId="77777777" w:rsidR="003C5562" w:rsidRPr="0000604F" w:rsidRDefault="003C5562" w:rsidP="003C5562">
                          <w:pPr>
                            <w:jc w:val="both"/>
                            <w:rPr>
                              <w:rFonts w:eastAsia="Adobe Heiti Std R"/>
                              <w:sz w:val="20"/>
                            </w:rPr>
                          </w:pPr>
                          <w:r>
                            <w:rPr>
                              <w:rFonts w:eastAsia="Adobe Heiti Std R"/>
                              <w:sz w:val="20"/>
                            </w:rPr>
                            <w:t>Volume</w:t>
                          </w:r>
                          <w:r w:rsidRPr="0000604F">
                            <w:rPr>
                              <w:rFonts w:eastAsia="Adobe Heiti Std R"/>
                              <w:sz w:val="20"/>
                            </w:rPr>
                            <w:t xml:space="preserve"> </w:t>
                          </w:r>
                          <w:r>
                            <w:rPr>
                              <w:rFonts w:eastAsia="Adobe Heiti Std R"/>
                              <w:sz w:val="20"/>
                            </w:rPr>
                            <w:t>1</w:t>
                          </w:r>
                          <w:r w:rsidR="00B86EDD">
                            <w:rPr>
                              <w:rFonts w:eastAsia="Adobe Heiti Std R"/>
                              <w:sz w:val="20"/>
                            </w:rPr>
                            <w:t>1</w:t>
                          </w:r>
                          <w:r>
                            <w:rPr>
                              <w:rFonts w:eastAsia="Adobe Heiti Std R"/>
                              <w:sz w:val="20"/>
                            </w:rPr>
                            <w:t xml:space="preserve">, Number </w:t>
                          </w:r>
                          <w:r w:rsidR="00B86EDD">
                            <w:rPr>
                              <w:rFonts w:eastAsia="Adobe Heiti Std R"/>
                              <w:sz w:val="20"/>
                            </w:rPr>
                            <w:t>1</w:t>
                          </w:r>
                          <w:r w:rsidRPr="0000604F">
                            <w:rPr>
                              <w:rFonts w:eastAsia="Adobe Heiti Std R"/>
                              <w:sz w:val="20"/>
                            </w:rPr>
                            <w:t xml:space="preserve">, </w:t>
                          </w:r>
                          <w:r w:rsidR="00B86EDD">
                            <w:rPr>
                              <w:rFonts w:eastAsia="Adobe Heiti Std R"/>
                              <w:sz w:val="20"/>
                            </w:rPr>
                            <w:t>March</w:t>
                          </w:r>
                          <w:r>
                            <w:rPr>
                              <w:rFonts w:eastAsia="Adobe Heiti Std R"/>
                              <w:sz w:val="20"/>
                            </w:rPr>
                            <w:t xml:space="preserve"> 202</w:t>
                          </w:r>
                          <w:r w:rsidR="00B86EDD">
                            <w:rPr>
                              <w:rFonts w:eastAsia="Adobe Heiti Std R"/>
                              <w:sz w:val="20"/>
                            </w:rPr>
                            <w:t>6</w:t>
                          </w:r>
                        </w:p>
                        <w:p w14:paraId="6833A05A" w14:textId="5B64EF51" w:rsidR="003C5562" w:rsidRPr="00212C7F" w:rsidRDefault="00A57EAE" w:rsidP="00A57EAE">
                          <w:pPr>
                            <w:jc w:val="both"/>
                            <w:rPr>
                              <w:color w:val="0070C0"/>
                              <w:sz w:val="20"/>
                              <w:szCs w:val="20"/>
                            </w:rPr>
                          </w:pPr>
                          <w:hyperlink r:id="rId2" w:history="1">
                            <w:r w:rsidRPr="0003317B">
                              <w:rPr>
                                <w:rStyle w:val="Hyperlink"/>
                                <w:sz w:val="20"/>
                                <w:szCs w:val="20"/>
                              </w:rPr>
                              <w:t>https://doi.org/10.37341/jkkt.v11i1.650</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3CE1DF" id="Rectangle 10" o:spid="_x0000_s1026" style="position:absolute;margin-left:198.45pt;margin-top:-10.1pt;width:251.6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" fillcolor="white [3201]" stroked="f" strokeweight="2pt">
              <v:textbox>
                <w:txbxContent>
                  <w:p w14:paraId="5EC7AF76" w14:textId="77777777" w:rsidR="003C5562" w:rsidRPr="0000604F" w:rsidRDefault="003C5562" w:rsidP="003C5562">
                    <w:pPr>
                      <w:jc w:val="both"/>
                      <w:rPr>
                        <w:rFonts w:eastAsia="Adobe Heiti Std R"/>
                        <w:sz w:val="20"/>
                      </w:rPr>
                    </w:pPr>
                    <w:r w:rsidRPr="0000604F">
                      <w:rPr>
                        <w:rFonts w:eastAsia="Adobe Heiti Std R"/>
                        <w:sz w:val="20"/>
                      </w:rPr>
                      <w:t>Jurnal Kebidanan dan Kesehatan Tradisional</w:t>
                    </w:r>
                  </w:p>
                  <w:p w14:paraId="2DA32E4A" w14:textId="77777777" w:rsidR="003C5562" w:rsidRPr="0000604F" w:rsidRDefault="003C5562" w:rsidP="003C5562">
                    <w:pPr>
                      <w:jc w:val="both"/>
                      <w:rPr>
                        <w:rFonts w:eastAsia="Adobe Heiti Std R"/>
                        <w:sz w:val="20"/>
                      </w:rPr>
                    </w:pPr>
                    <w:r>
                      <w:rPr>
                        <w:rFonts w:eastAsia="Adobe Heiti Std R"/>
                        <w:sz w:val="20"/>
                      </w:rPr>
                      <w:t>Volume</w:t>
                    </w:r>
                    <w:r w:rsidRPr="0000604F">
                      <w:rPr>
                        <w:rFonts w:eastAsia="Adobe Heiti Std R"/>
                        <w:sz w:val="20"/>
                      </w:rPr>
                      <w:t xml:space="preserve"> </w:t>
                    </w:r>
                    <w:r>
                      <w:rPr>
                        <w:rFonts w:eastAsia="Adobe Heiti Std R"/>
                        <w:sz w:val="20"/>
                      </w:rPr>
                      <w:t>1</w:t>
                    </w:r>
                    <w:r w:rsidR="00B86EDD">
                      <w:rPr>
                        <w:rFonts w:eastAsia="Adobe Heiti Std R"/>
                        <w:sz w:val="20"/>
                      </w:rPr>
                      <w:t>1</w:t>
                    </w:r>
                    <w:r>
                      <w:rPr>
                        <w:rFonts w:eastAsia="Adobe Heiti Std R"/>
                        <w:sz w:val="20"/>
                      </w:rPr>
                      <w:t xml:space="preserve">, Number </w:t>
                    </w:r>
                    <w:r w:rsidR="00B86EDD">
                      <w:rPr>
                        <w:rFonts w:eastAsia="Adobe Heiti Std R"/>
                        <w:sz w:val="20"/>
                      </w:rPr>
                      <w:t>1</w:t>
                    </w:r>
                    <w:r w:rsidRPr="0000604F">
                      <w:rPr>
                        <w:rFonts w:eastAsia="Adobe Heiti Std R"/>
                        <w:sz w:val="20"/>
                      </w:rPr>
                      <w:t xml:space="preserve">, </w:t>
                    </w:r>
                    <w:r w:rsidR="00B86EDD">
                      <w:rPr>
                        <w:rFonts w:eastAsia="Adobe Heiti Std R"/>
                        <w:sz w:val="20"/>
                      </w:rPr>
                      <w:t>March</w:t>
                    </w:r>
                    <w:r>
                      <w:rPr>
                        <w:rFonts w:eastAsia="Adobe Heiti Std R"/>
                        <w:sz w:val="20"/>
                      </w:rPr>
                      <w:t xml:space="preserve"> 202</w:t>
                    </w:r>
                    <w:r w:rsidR="00B86EDD">
                      <w:rPr>
                        <w:rFonts w:eastAsia="Adobe Heiti Std R"/>
                        <w:sz w:val="20"/>
                      </w:rPr>
                      <w:t>6</w:t>
                    </w:r>
                  </w:p>
                  <w:p w14:paraId="6833A05A" w14:textId="5B64EF51" w:rsidR="003C5562" w:rsidRPr="00212C7F" w:rsidRDefault="00A57EAE" w:rsidP="00A57EAE">
                    <w:pPr>
                      <w:jc w:val="both"/>
                      <w:rPr>
                        <w:color w:val="0070C0"/>
                        <w:sz w:val="20"/>
                        <w:szCs w:val="20"/>
                      </w:rPr>
                    </w:pPr>
                    <w:hyperlink r:id="rId3" w:history="1">
                      <w:r w:rsidRPr="0003317B">
                        <w:rPr>
                          <w:rStyle w:val="Hyperlink"/>
                          <w:sz w:val="20"/>
                          <w:szCs w:val="20"/>
                        </w:rPr>
                        <w:t>https://doi.org/10.37341/jkkt.v11i1.650</w:t>
                      </w:r>
                    </w:hyperlink>
                  </w:p>
                </w:txbxContent>
              </v:textbox>
            </v:rect>
          </w:pict>
        </mc:Fallback>
      </mc:AlternateContent>
    </w:r>
    <w:r>
      <w:rPr>
        <w:noProof/>
        <w:lang w:eastAsia="en-US"/>
      </w:rPr>
      <mc:AlternateContent>
        <mc:Choice Requires="wpg">
          <w:drawing>
            <wp:anchor distT="0" distB="0" distL="114300" distR="114300" simplePos="0" relativeHeight="251661312" behindDoc="0" locked="0" layoutInCell="1" allowOverlap="1" wp14:anchorId="402F3A33" wp14:editId="6ED88A5F">
              <wp:simplePos x="0" y="0"/>
              <wp:positionH relativeFrom="column">
                <wp:posOffset>-108585</wp:posOffset>
              </wp:positionH>
              <wp:positionV relativeFrom="paragraph">
                <wp:posOffset>557530</wp:posOffset>
              </wp:positionV>
              <wp:extent cx="5822315" cy="61595"/>
              <wp:effectExtent l="0" t="0" r="26035" b="1460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315" cy="61595"/>
                        <a:chOff x="0" y="0"/>
                        <a:chExt cx="5822315" cy="61708"/>
                      </a:xfrm>
                    </wpg:grpSpPr>
                    <wps:wsp>
                      <wps:cNvPr id="3" name="Straight Connector 4"/>
                      <wps:cNvCnPr/>
                      <wps:spPr>
                        <a:xfrm>
                          <a:off x="145855" y="61708"/>
                          <a:ext cx="5537835"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4" name="Straight Connector 5"/>
                      <wps:cNvCnPr/>
                      <wps:spPr>
                        <a:xfrm>
                          <a:off x="145855" y="0"/>
                          <a:ext cx="5538159" cy="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5" name="Straight Connector 6"/>
                      <wps:cNvCnPr/>
                      <wps:spPr>
                        <a:xfrm>
                          <a:off x="0" y="33659"/>
                          <a:ext cx="582231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BD87B6A" id="Group 3" o:spid="_x0000_s1026" style="position:absolute;margin-left:-8.55pt;margin-top:43.9pt;width:458.45pt;height:4.85pt;z-index:251661312" coordsize="5822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">
              <v:line id="Straight Connector 4" o:spid="_x0000_s1027" style="position:absolute;visibility:visible;mso-wrap-style:square" from="1458,617" to="5683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" strokecolor="black [3040]" strokeweight=".5pt"/>
              <v:line id="Straight Connector 5" o:spid="_x0000_s1028" style="position:absolute;visibility:visible;mso-wrap-style:square" from="1458,0" to="5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" strokecolor="black [3040]" strokeweight=".5pt"/>
              <v:line id="Straight Connector 6" o:spid="_x0000_s1029" style="position:absolute;visibility:visible;mso-wrap-style:square" from="0,336" to="582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" strokecolor="black [3040]" strokeweight="1.5pt"/>
            </v:group>
          </w:pict>
        </mc:Fallback>
      </mc:AlternateContent>
    </w:r>
    <w:r>
      <w:fldChar w:fldCharType="begin"/>
    </w:r>
    <w:r>
      <w:instrText xml:space="preserve"> INCLUDEPICTURE "C:\\private\\var\\folders\\dw\\nptgkxrd0h554z86xqctzgh40000gn\\T\\com.kingsoft.wpsoffice.mac.global\\wps-dewiandangprastika\\ksohtml\\wpsuzGNqi.png" \* MERGEFORMAT </w:instrText>
    </w:r>
    <w:r>
      <w:fldChar w:fldCharType="end"/>
    </w:r>
  </w:p>
  <w:p w14:paraId="62A37584" w14:textId="77777777" w:rsidR="003C5562" w:rsidRDefault="003C5562" w:rsidP="003C5562">
    <w:pPr>
      <w:pStyle w:val="Header"/>
      <w:jc w:val="right"/>
    </w:pPr>
  </w:p>
  <w:p w14:paraId="33E02797" w14:textId="77777777" w:rsidR="00814353" w:rsidRDefault="00814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3B0C" w14:textId="77777777" w:rsidR="00D22777" w:rsidRPr="00736ABE" w:rsidRDefault="00D22777" w:rsidP="003C5562">
    <w:pPr>
      <w:pStyle w:val="Header"/>
    </w:pPr>
    <w:r>
      <w:fldChar w:fldCharType="begin"/>
    </w:r>
    <w:r>
      <w:instrText xml:space="preserve"> INCLUDEPICTURE "C:\\private\\var\\folders\\dw\\nptgkxrd0h554z86xqctzgh40000gn\\T\\com.kingsoft.wpsoffice.mac.global\\wps-dewiandangprastika\\ksohtml\\wpsuzGNqi.png" \* MERGEFORMAT </w:instrText>
    </w:r>
    <w:r>
      <w:fldChar w:fldCharType="end"/>
    </w:r>
  </w:p>
  <w:p w14:paraId="47F3F906" w14:textId="77777777" w:rsidR="00D22777" w:rsidRDefault="00D22777" w:rsidP="003C5562">
    <w:pPr>
      <w:pStyle w:val="Header"/>
      <w:jc w:val="right"/>
    </w:pPr>
  </w:p>
  <w:p w14:paraId="75A547D3" w14:textId="77777777" w:rsidR="00D22777" w:rsidRDefault="00D2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Email, Kotak Email, Ikon Komputer gambar png" style="width:900pt;height:520pt;flip:x;visibility:visible;mso-wrap-style:square" o:bullet="t">
        <v:imagedata r:id="rId1" o:title=" Email, Kotak Email, Ikon Komputer gambar png" croptop="10749f" cropbottom="10598f" cropleft="6339f" cropright="13796f"/>
      </v:shape>
    </w:pict>
  </w:numPicBullet>
  <w:numPicBullet w:numPicBulletId="1">
    <w:pict>
      <v:shape id="image2.jpeg" o:spid="_x0000_i1026" type="#_x0000_t75" alt="Description: Email, Kotak Email, Ikon Komputer gambar png" style="width:28.5pt;height:16.5pt;visibility:visible;mso-wrap-style:square" o:bullet="t">
        <v:imagedata r:id="rId2" o:title=" Email, Kotak Email, Ikon Komputer gambar png"/>
      </v:shape>
    </w:pict>
  </w:numPicBullet>
  <w:abstractNum w:abstractNumId="0" w15:restartNumberingAfterBreak="0">
    <w:nsid w:val="023A172A"/>
    <w:multiLevelType w:val="hybridMultilevel"/>
    <w:tmpl w:val="96CEEA78"/>
    <w:lvl w:ilvl="0" w:tplc="C46E409E">
      <w:start w:val="1"/>
      <w:numFmt w:val="bullet"/>
      <w:lvlText w:val=""/>
      <w:lvlPicBulletId w:val="0"/>
      <w:lvlJc w:val="left"/>
      <w:pPr>
        <w:tabs>
          <w:tab w:val="num" w:pos="720"/>
        </w:tabs>
        <w:ind w:left="720" w:hanging="360"/>
      </w:pPr>
      <w:rPr>
        <w:rFonts w:ascii="Symbol" w:hAnsi="Symbol" w:hint="default"/>
      </w:rPr>
    </w:lvl>
    <w:lvl w:ilvl="1" w:tplc="5FDCEA0A" w:tentative="1">
      <w:start w:val="1"/>
      <w:numFmt w:val="bullet"/>
      <w:lvlText w:val=""/>
      <w:lvlJc w:val="left"/>
      <w:pPr>
        <w:tabs>
          <w:tab w:val="num" w:pos="1440"/>
        </w:tabs>
        <w:ind w:left="1440" w:hanging="360"/>
      </w:pPr>
      <w:rPr>
        <w:rFonts w:ascii="Symbol" w:hAnsi="Symbol" w:hint="default"/>
      </w:rPr>
    </w:lvl>
    <w:lvl w:ilvl="2" w:tplc="24509C0C" w:tentative="1">
      <w:start w:val="1"/>
      <w:numFmt w:val="bullet"/>
      <w:lvlText w:val=""/>
      <w:lvlJc w:val="left"/>
      <w:pPr>
        <w:tabs>
          <w:tab w:val="num" w:pos="2160"/>
        </w:tabs>
        <w:ind w:left="2160" w:hanging="360"/>
      </w:pPr>
      <w:rPr>
        <w:rFonts w:ascii="Symbol" w:hAnsi="Symbol" w:hint="default"/>
      </w:rPr>
    </w:lvl>
    <w:lvl w:ilvl="3" w:tplc="E3CEFCFC" w:tentative="1">
      <w:start w:val="1"/>
      <w:numFmt w:val="bullet"/>
      <w:lvlText w:val=""/>
      <w:lvlJc w:val="left"/>
      <w:pPr>
        <w:tabs>
          <w:tab w:val="num" w:pos="2880"/>
        </w:tabs>
        <w:ind w:left="2880" w:hanging="360"/>
      </w:pPr>
      <w:rPr>
        <w:rFonts w:ascii="Symbol" w:hAnsi="Symbol" w:hint="default"/>
      </w:rPr>
    </w:lvl>
    <w:lvl w:ilvl="4" w:tplc="004CBC5E" w:tentative="1">
      <w:start w:val="1"/>
      <w:numFmt w:val="bullet"/>
      <w:lvlText w:val=""/>
      <w:lvlJc w:val="left"/>
      <w:pPr>
        <w:tabs>
          <w:tab w:val="num" w:pos="3600"/>
        </w:tabs>
        <w:ind w:left="3600" w:hanging="360"/>
      </w:pPr>
      <w:rPr>
        <w:rFonts w:ascii="Symbol" w:hAnsi="Symbol" w:hint="default"/>
      </w:rPr>
    </w:lvl>
    <w:lvl w:ilvl="5" w:tplc="195C5CE2" w:tentative="1">
      <w:start w:val="1"/>
      <w:numFmt w:val="bullet"/>
      <w:lvlText w:val=""/>
      <w:lvlJc w:val="left"/>
      <w:pPr>
        <w:tabs>
          <w:tab w:val="num" w:pos="4320"/>
        </w:tabs>
        <w:ind w:left="4320" w:hanging="360"/>
      </w:pPr>
      <w:rPr>
        <w:rFonts w:ascii="Symbol" w:hAnsi="Symbol" w:hint="default"/>
      </w:rPr>
    </w:lvl>
    <w:lvl w:ilvl="6" w:tplc="AF9686F8" w:tentative="1">
      <w:start w:val="1"/>
      <w:numFmt w:val="bullet"/>
      <w:lvlText w:val=""/>
      <w:lvlJc w:val="left"/>
      <w:pPr>
        <w:tabs>
          <w:tab w:val="num" w:pos="5040"/>
        </w:tabs>
        <w:ind w:left="5040" w:hanging="360"/>
      </w:pPr>
      <w:rPr>
        <w:rFonts w:ascii="Symbol" w:hAnsi="Symbol" w:hint="default"/>
      </w:rPr>
    </w:lvl>
    <w:lvl w:ilvl="7" w:tplc="5F8E5128" w:tentative="1">
      <w:start w:val="1"/>
      <w:numFmt w:val="bullet"/>
      <w:lvlText w:val=""/>
      <w:lvlJc w:val="left"/>
      <w:pPr>
        <w:tabs>
          <w:tab w:val="num" w:pos="5760"/>
        </w:tabs>
        <w:ind w:left="5760" w:hanging="360"/>
      </w:pPr>
      <w:rPr>
        <w:rFonts w:ascii="Symbol" w:hAnsi="Symbol" w:hint="default"/>
      </w:rPr>
    </w:lvl>
    <w:lvl w:ilvl="8" w:tplc="FACC28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C31DA8"/>
    <w:multiLevelType w:val="multilevel"/>
    <w:tmpl w:val="02C31DA8"/>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36D06"/>
    <w:multiLevelType w:val="multilevel"/>
    <w:tmpl w:val="0E836D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04518E"/>
    <w:multiLevelType w:val="multilevel"/>
    <w:tmpl w:val="1D04518E"/>
    <w:lvl w:ilvl="0">
      <w:start w:val="1"/>
      <w:numFmt w:val="bullet"/>
      <w:lvlText w:val=""/>
      <w:lvlJc w:val="left"/>
      <w:pPr>
        <w:ind w:left="647" w:hanging="360"/>
      </w:pPr>
      <w:rPr>
        <w:rFonts w:ascii="Symbol" w:hAnsi="Symbol" w:hint="default"/>
      </w:rPr>
    </w:lvl>
    <w:lvl w:ilvl="1">
      <w:start w:val="1"/>
      <w:numFmt w:val="bullet"/>
      <w:lvlText w:val="o"/>
      <w:lvlJc w:val="left"/>
      <w:pPr>
        <w:ind w:left="1367" w:hanging="360"/>
      </w:pPr>
      <w:rPr>
        <w:rFonts w:ascii="Courier New" w:hAnsi="Courier New" w:cs="Courier New" w:hint="default"/>
      </w:rPr>
    </w:lvl>
    <w:lvl w:ilvl="2">
      <w:start w:val="1"/>
      <w:numFmt w:val="bullet"/>
      <w:lvlText w:val=""/>
      <w:lvlJc w:val="left"/>
      <w:pPr>
        <w:ind w:left="2087" w:hanging="360"/>
      </w:pPr>
      <w:rPr>
        <w:rFonts w:ascii="Wingdings" w:hAnsi="Wingdings" w:hint="default"/>
      </w:rPr>
    </w:lvl>
    <w:lvl w:ilvl="3">
      <w:start w:val="1"/>
      <w:numFmt w:val="bullet"/>
      <w:lvlText w:val=""/>
      <w:lvlJc w:val="left"/>
      <w:pPr>
        <w:ind w:left="2807" w:hanging="360"/>
      </w:pPr>
      <w:rPr>
        <w:rFonts w:ascii="Symbol" w:hAnsi="Symbol" w:hint="default"/>
      </w:rPr>
    </w:lvl>
    <w:lvl w:ilvl="4">
      <w:start w:val="1"/>
      <w:numFmt w:val="bullet"/>
      <w:lvlText w:val="o"/>
      <w:lvlJc w:val="left"/>
      <w:pPr>
        <w:ind w:left="3527" w:hanging="360"/>
      </w:pPr>
      <w:rPr>
        <w:rFonts w:ascii="Courier New" w:hAnsi="Courier New" w:cs="Courier New" w:hint="default"/>
      </w:rPr>
    </w:lvl>
    <w:lvl w:ilvl="5">
      <w:start w:val="1"/>
      <w:numFmt w:val="bullet"/>
      <w:lvlText w:val=""/>
      <w:lvlJc w:val="left"/>
      <w:pPr>
        <w:ind w:left="4247" w:hanging="360"/>
      </w:pPr>
      <w:rPr>
        <w:rFonts w:ascii="Wingdings" w:hAnsi="Wingdings" w:hint="default"/>
      </w:rPr>
    </w:lvl>
    <w:lvl w:ilvl="6">
      <w:start w:val="1"/>
      <w:numFmt w:val="bullet"/>
      <w:lvlText w:val=""/>
      <w:lvlJc w:val="left"/>
      <w:pPr>
        <w:ind w:left="4967" w:hanging="360"/>
      </w:pPr>
      <w:rPr>
        <w:rFonts w:ascii="Symbol" w:hAnsi="Symbol" w:hint="default"/>
      </w:rPr>
    </w:lvl>
    <w:lvl w:ilvl="7">
      <w:start w:val="1"/>
      <w:numFmt w:val="bullet"/>
      <w:lvlText w:val="o"/>
      <w:lvlJc w:val="left"/>
      <w:pPr>
        <w:ind w:left="5687" w:hanging="360"/>
      </w:pPr>
      <w:rPr>
        <w:rFonts w:ascii="Courier New" w:hAnsi="Courier New" w:cs="Courier New" w:hint="default"/>
      </w:rPr>
    </w:lvl>
    <w:lvl w:ilvl="8">
      <w:start w:val="1"/>
      <w:numFmt w:val="bullet"/>
      <w:lvlText w:val=""/>
      <w:lvlJc w:val="left"/>
      <w:pPr>
        <w:ind w:left="6407" w:hanging="360"/>
      </w:pPr>
      <w:rPr>
        <w:rFonts w:ascii="Wingdings" w:hAnsi="Wingdings" w:hint="default"/>
      </w:rPr>
    </w:lvl>
  </w:abstractNum>
  <w:abstractNum w:abstractNumId="4" w15:restartNumberingAfterBreak="0">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C2633E5"/>
    <w:multiLevelType w:val="multilevel"/>
    <w:tmpl w:val="3C2633E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2779E5"/>
    <w:multiLevelType w:val="hybridMultilevel"/>
    <w:tmpl w:val="732E1C72"/>
    <w:lvl w:ilvl="0" w:tplc="3809000B">
      <w:start w:val="20"/>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11713F4"/>
    <w:multiLevelType w:val="hybridMultilevel"/>
    <w:tmpl w:val="9E4C474C"/>
    <w:lvl w:ilvl="0" w:tplc="DAEC1B7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56F424B1"/>
    <w:multiLevelType w:val="hybridMultilevel"/>
    <w:tmpl w:val="034A976C"/>
    <w:lvl w:ilvl="0" w:tplc="019CF6D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63755B1D"/>
    <w:multiLevelType w:val="multilevel"/>
    <w:tmpl w:val="62C81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CF747D"/>
    <w:multiLevelType w:val="hybridMultilevel"/>
    <w:tmpl w:val="4D3C44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749713A"/>
    <w:multiLevelType w:val="hybridMultilevel"/>
    <w:tmpl w:val="738433CE"/>
    <w:lvl w:ilvl="0" w:tplc="3809000B">
      <w:start w:val="20"/>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F652845"/>
    <w:multiLevelType w:val="multilevel"/>
    <w:tmpl w:val="7F65284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99289060">
    <w:abstractNumId w:val="3"/>
  </w:num>
  <w:num w:numId="2" w16cid:durableId="1553228958">
    <w:abstractNumId w:val="0"/>
  </w:num>
  <w:num w:numId="3" w16cid:durableId="2142921783">
    <w:abstractNumId w:val="4"/>
  </w:num>
  <w:num w:numId="4" w16cid:durableId="964430773">
    <w:abstractNumId w:val="9"/>
  </w:num>
  <w:num w:numId="5" w16cid:durableId="667826818">
    <w:abstractNumId w:val="5"/>
  </w:num>
  <w:num w:numId="6" w16cid:durableId="382367301">
    <w:abstractNumId w:val="2"/>
  </w:num>
  <w:num w:numId="7" w16cid:durableId="1948080370">
    <w:abstractNumId w:val="12"/>
  </w:num>
  <w:num w:numId="8" w16cid:durableId="1892184124">
    <w:abstractNumId w:val="1"/>
  </w:num>
  <w:num w:numId="9" w16cid:durableId="20517183">
    <w:abstractNumId w:val="8"/>
  </w:num>
  <w:num w:numId="10" w16cid:durableId="660276449">
    <w:abstractNumId w:val="7"/>
  </w:num>
  <w:num w:numId="11" w16cid:durableId="78062834">
    <w:abstractNumId w:val="10"/>
  </w:num>
  <w:num w:numId="12" w16cid:durableId="1660042012">
    <w:abstractNumId w:val="6"/>
  </w:num>
  <w:num w:numId="13" w16cid:durableId="160774863">
    <w:abstractNumId w:val="11"/>
  </w:num>
  <w:num w:numId="14" w16cid:durableId="4003687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85"/>
    <w:rsid w:val="00010DB1"/>
    <w:rsid w:val="00026941"/>
    <w:rsid w:val="00035F8B"/>
    <w:rsid w:val="000472BF"/>
    <w:rsid w:val="0006776B"/>
    <w:rsid w:val="00096C8B"/>
    <w:rsid w:val="000B036C"/>
    <w:rsid w:val="000E325C"/>
    <w:rsid w:val="000E5D99"/>
    <w:rsid w:val="000F3FCC"/>
    <w:rsid w:val="00153738"/>
    <w:rsid w:val="00192309"/>
    <w:rsid w:val="001A07A3"/>
    <w:rsid w:val="001B1324"/>
    <w:rsid w:val="001C1664"/>
    <w:rsid w:val="001C7FBA"/>
    <w:rsid w:val="00261AC0"/>
    <w:rsid w:val="00272F11"/>
    <w:rsid w:val="00277E14"/>
    <w:rsid w:val="00286E01"/>
    <w:rsid w:val="002B784A"/>
    <w:rsid w:val="002D2E78"/>
    <w:rsid w:val="002D557E"/>
    <w:rsid w:val="00305607"/>
    <w:rsid w:val="0031743A"/>
    <w:rsid w:val="0033717E"/>
    <w:rsid w:val="00361696"/>
    <w:rsid w:val="00377AF1"/>
    <w:rsid w:val="00392AE5"/>
    <w:rsid w:val="003C3AFF"/>
    <w:rsid w:val="003C5562"/>
    <w:rsid w:val="003E4E12"/>
    <w:rsid w:val="003F71F5"/>
    <w:rsid w:val="0041084E"/>
    <w:rsid w:val="0041199F"/>
    <w:rsid w:val="0042182E"/>
    <w:rsid w:val="0044126E"/>
    <w:rsid w:val="0045675A"/>
    <w:rsid w:val="00456D48"/>
    <w:rsid w:val="004574CB"/>
    <w:rsid w:val="00461C4F"/>
    <w:rsid w:val="0046490C"/>
    <w:rsid w:val="00473ADA"/>
    <w:rsid w:val="0049094D"/>
    <w:rsid w:val="004B6A4E"/>
    <w:rsid w:val="004B6F85"/>
    <w:rsid w:val="004E323A"/>
    <w:rsid w:val="004E3879"/>
    <w:rsid w:val="004F0530"/>
    <w:rsid w:val="004F376A"/>
    <w:rsid w:val="004F7085"/>
    <w:rsid w:val="0052153A"/>
    <w:rsid w:val="0053016A"/>
    <w:rsid w:val="00533E77"/>
    <w:rsid w:val="00536C3D"/>
    <w:rsid w:val="005645CC"/>
    <w:rsid w:val="005B6757"/>
    <w:rsid w:val="005D2A13"/>
    <w:rsid w:val="005E0C8D"/>
    <w:rsid w:val="005E115A"/>
    <w:rsid w:val="005E2348"/>
    <w:rsid w:val="005E26DD"/>
    <w:rsid w:val="005F2FFA"/>
    <w:rsid w:val="00617A86"/>
    <w:rsid w:val="006366D5"/>
    <w:rsid w:val="00642EE9"/>
    <w:rsid w:val="00646F86"/>
    <w:rsid w:val="00686571"/>
    <w:rsid w:val="006B2B62"/>
    <w:rsid w:val="006C21A7"/>
    <w:rsid w:val="006D1A70"/>
    <w:rsid w:val="006D2BFA"/>
    <w:rsid w:val="006D31AE"/>
    <w:rsid w:val="006E5B3A"/>
    <w:rsid w:val="006F7446"/>
    <w:rsid w:val="00703619"/>
    <w:rsid w:val="00727218"/>
    <w:rsid w:val="007352E0"/>
    <w:rsid w:val="007525D5"/>
    <w:rsid w:val="0075531D"/>
    <w:rsid w:val="00767FA1"/>
    <w:rsid w:val="00770ACB"/>
    <w:rsid w:val="007A2853"/>
    <w:rsid w:val="007B03F2"/>
    <w:rsid w:val="007B4CDA"/>
    <w:rsid w:val="007C46D8"/>
    <w:rsid w:val="007D5F46"/>
    <w:rsid w:val="007D7725"/>
    <w:rsid w:val="007F4987"/>
    <w:rsid w:val="008051DD"/>
    <w:rsid w:val="00814353"/>
    <w:rsid w:val="0084404D"/>
    <w:rsid w:val="00871F56"/>
    <w:rsid w:val="00872E56"/>
    <w:rsid w:val="00886347"/>
    <w:rsid w:val="00890DAD"/>
    <w:rsid w:val="00894152"/>
    <w:rsid w:val="00896CD4"/>
    <w:rsid w:val="008A0BC2"/>
    <w:rsid w:val="008A6C1B"/>
    <w:rsid w:val="008B6933"/>
    <w:rsid w:val="00906595"/>
    <w:rsid w:val="00911039"/>
    <w:rsid w:val="009256D5"/>
    <w:rsid w:val="009336FE"/>
    <w:rsid w:val="00941BC9"/>
    <w:rsid w:val="00941C36"/>
    <w:rsid w:val="0094663B"/>
    <w:rsid w:val="009518FE"/>
    <w:rsid w:val="00976638"/>
    <w:rsid w:val="00981999"/>
    <w:rsid w:val="009A7818"/>
    <w:rsid w:val="009B31AD"/>
    <w:rsid w:val="009B6363"/>
    <w:rsid w:val="009C3637"/>
    <w:rsid w:val="009C4733"/>
    <w:rsid w:val="009C5A2A"/>
    <w:rsid w:val="009E01C9"/>
    <w:rsid w:val="009F5812"/>
    <w:rsid w:val="00A03D3D"/>
    <w:rsid w:val="00A11E5A"/>
    <w:rsid w:val="00A454FF"/>
    <w:rsid w:val="00A54E4D"/>
    <w:rsid w:val="00A57EAE"/>
    <w:rsid w:val="00A93A17"/>
    <w:rsid w:val="00AA6F41"/>
    <w:rsid w:val="00AC10A8"/>
    <w:rsid w:val="00AC6721"/>
    <w:rsid w:val="00AD2ECD"/>
    <w:rsid w:val="00AE5909"/>
    <w:rsid w:val="00B06C39"/>
    <w:rsid w:val="00B11EE5"/>
    <w:rsid w:val="00B37813"/>
    <w:rsid w:val="00B62B06"/>
    <w:rsid w:val="00B86EDD"/>
    <w:rsid w:val="00BA1288"/>
    <w:rsid w:val="00BD75FC"/>
    <w:rsid w:val="00BE287E"/>
    <w:rsid w:val="00BE45D2"/>
    <w:rsid w:val="00BF58D3"/>
    <w:rsid w:val="00C04755"/>
    <w:rsid w:val="00C128B2"/>
    <w:rsid w:val="00C52AEF"/>
    <w:rsid w:val="00C76A74"/>
    <w:rsid w:val="00CA1555"/>
    <w:rsid w:val="00CA290D"/>
    <w:rsid w:val="00CC45F8"/>
    <w:rsid w:val="00CC4EAA"/>
    <w:rsid w:val="00CE7DFB"/>
    <w:rsid w:val="00D20F36"/>
    <w:rsid w:val="00D219D3"/>
    <w:rsid w:val="00D22777"/>
    <w:rsid w:val="00D517C9"/>
    <w:rsid w:val="00D5553F"/>
    <w:rsid w:val="00D557E7"/>
    <w:rsid w:val="00D57E6B"/>
    <w:rsid w:val="00D64D04"/>
    <w:rsid w:val="00D8578A"/>
    <w:rsid w:val="00DB320A"/>
    <w:rsid w:val="00DB6A3E"/>
    <w:rsid w:val="00DB7DE8"/>
    <w:rsid w:val="00DF5BA8"/>
    <w:rsid w:val="00DF5EFC"/>
    <w:rsid w:val="00E06A5B"/>
    <w:rsid w:val="00E34E86"/>
    <w:rsid w:val="00E40D94"/>
    <w:rsid w:val="00E53B32"/>
    <w:rsid w:val="00E75A04"/>
    <w:rsid w:val="00E86F27"/>
    <w:rsid w:val="00EB0573"/>
    <w:rsid w:val="00EB7201"/>
    <w:rsid w:val="00EE2D14"/>
    <w:rsid w:val="00EE36D3"/>
    <w:rsid w:val="00EF0A36"/>
    <w:rsid w:val="00F243A9"/>
    <w:rsid w:val="00F35304"/>
    <w:rsid w:val="00F6462E"/>
    <w:rsid w:val="00F82009"/>
    <w:rsid w:val="00F93B3F"/>
    <w:rsid w:val="00FA432A"/>
    <w:rsid w:val="00FB533D"/>
    <w:rsid w:val="00FC0F7E"/>
    <w:rsid w:val="00FC19D5"/>
    <w:rsid w:val="00FC2DD9"/>
    <w:rsid w:val="00FD4235"/>
    <w:rsid w:val="00FE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585E"/>
  <w15:docId w15:val="{7C33333B-9789-43FB-B5A1-4D2D1E34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85"/>
    <w:pPr>
      <w:suppressAutoHyphens/>
      <w:spacing w:after="0" w:line="240" w:lineRule="auto"/>
    </w:pPr>
    <w:rPr>
      <w:rFonts w:ascii="Times New Roman" w:eastAsia="MS Mincho" w:hAnsi="Times New Roman" w:cs="Times New Roman"/>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B6F85"/>
    <w:pPr>
      <w:tabs>
        <w:tab w:val="center" w:pos="4680"/>
        <w:tab w:val="right" w:pos="9360"/>
      </w:tabs>
    </w:pPr>
  </w:style>
  <w:style w:type="character" w:customStyle="1" w:styleId="HeaderChar">
    <w:name w:val="Header Char"/>
    <w:basedOn w:val="DefaultParagraphFont"/>
    <w:link w:val="Header"/>
    <w:uiPriority w:val="99"/>
    <w:rsid w:val="004B6F85"/>
  </w:style>
  <w:style w:type="paragraph" w:styleId="Footer">
    <w:name w:val="footer"/>
    <w:basedOn w:val="Normal"/>
    <w:link w:val="FooterChar"/>
    <w:uiPriority w:val="99"/>
    <w:unhideWhenUsed/>
    <w:rsid w:val="004B6F85"/>
    <w:pPr>
      <w:tabs>
        <w:tab w:val="center" w:pos="4680"/>
        <w:tab w:val="right" w:pos="9360"/>
      </w:tabs>
    </w:pPr>
  </w:style>
  <w:style w:type="character" w:customStyle="1" w:styleId="FooterChar">
    <w:name w:val="Footer Char"/>
    <w:basedOn w:val="DefaultParagraphFont"/>
    <w:link w:val="Footer"/>
    <w:uiPriority w:val="99"/>
    <w:rsid w:val="004B6F85"/>
  </w:style>
  <w:style w:type="character" w:styleId="Strong">
    <w:name w:val="Strong"/>
    <w:basedOn w:val="DefaultParagraphFont"/>
    <w:uiPriority w:val="22"/>
    <w:qFormat/>
    <w:rsid w:val="004B6F85"/>
    <w:rPr>
      <w:b/>
      <w:bCs/>
    </w:rPr>
  </w:style>
  <w:style w:type="character" w:styleId="Hyperlink">
    <w:name w:val="Hyperlink"/>
    <w:basedOn w:val="DefaultParagraphFont"/>
    <w:uiPriority w:val="99"/>
    <w:unhideWhenUsed/>
    <w:rsid w:val="004B6F85"/>
    <w:rPr>
      <w:color w:val="0000FF"/>
      <w:u w:val="single"/>
    </w:rPr>
  </w:style>
  <w:style w:type="paragraph" w:styleId="Subtitle">
    <w:name w:val="Subtitle"/>
    <w:basedOn w:val="Normal"/>
    <w:link w:val="SubtitleChar"/>
    <w:qFormat/>
    <w:rsid w:val="004B6F85"/>
    <w:pPr>
      <w:spacing w:after="60"/>
      <w:jc w:val="center"/>
      <w:outlineLvl w:val="1"/>
    </w:pPr>
    <w:rPr>
      <w:rFonts w:ascii="Arial" w:hAnsi="Arial" w:cs="Arial"/>
    </w:rPr>
  </w:style>
  <w:style w:type="character" w:customStyle="1" w:styleId="SubtitleChar">
    <w:name w:val="Subtitle Char"/>
    <w:basedOn w:val="DefaultParagraphFont"/>
    <w:link w:val="Subtitle"/>
    <w:rsid w:val="004B6F85"/>
    <w:rPr>
      <w:rFonts w:ascii="Arial" w:eastAsia="MS Mincho" w:hAnsi="Arial" w:cs="Arial"/>
      <w:sz w:val="24"/>
      <w:szCs w:val="24"/>
      <w:lang w:eastAsia="ar-SA"/>
    </w:rPr>
  </w:style>
  <w:style w:type="paragraph" w:styleId="Title">
    <w:name w:val="Title"/>
    <w:basedOn w:val="Normal"/>
    <w:next w:val="Subtitle"/>
    <w:link w:val="TitleChar"/>
    <w:qFormat/>
    <w:rsid w:val="004B6F85"/>
    <w:pPr>
      <w:jc w:val="center"/>
    </w:pPr>
    <w:rPr>
      <w:rFonts w:ascii="Arial" w:hAnsi="Arial"/>
      <w:b/>
      <w:szCs w:val="20"/>
    </w:rPr>
  </w:style>
  <w:style w:type="character" w:customStyle="1" w:styleId="TitleChar">
    <w:name w:val="Title Char"/>
    <w:basedOn w:val="DefaultParagraphFont"/>
    <w:link w:val="Title"/>
    <w:rsid w:val="004B6F85"/>
    <w:rPr>
      <w:rFonts w:ascii="Arial" w:eastAsia="MS Mincho" w:hAnsi="Arial" w:cs="Times New Roman"/>
      <w:b/>
      <w:sz w:val="24"/>
      <w:szCs w:val="20"/>
      <w:lang w:eastAsia="ar-SA"/>
    </w:rPr>
  </w:style>
  <w:style w:type="table" w:styleId="TableGrid">
    <w:name w:val="Table Grid"/>
    <w:basedOn w:val="TableNormal"/>
    <w:uiPriority w:val="39"/>
    <w:rsid w:val="005E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530"/>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F0530"/>
    <w:rPr>
      <w:rFonts w:ascii="Tahoma" w:hAnsi="Tahoma" w:cs="Tahoma"/>
      <w:sz w:val="16"/>
      <w:szCs w:val="16"/>
    </w:rPr>
  </w:style>
  <w:style w:type="character" w:customStyle="1" w:styleId="BalloonTextChar">
    <w:name w:val="Balloon Text Char"/>
    <w:basedOn w:val="DefaultParagraphFont"/>
    <w:link w:val="BalloonText"/>
    <w:uiPriority w:val="99"/>
    <w:semiHidden/>
    <w:rsid w:val="004F0530"/>
    <w:rPr>
      <w:rFonts w:ascii="Tahoma" w:eastAsia="MS Mincho" w:hAnsi="Tahoma" w:cs="Tahoma"/>
      <w:sz w:val="16"/>
      <w:szCs w:val="16"/>
      <w:lang w:eastAsia="ar-SA"/>
    </w:rPr>
  </w:style>
  <w:style w:type="paragraph" w:styleId="ListParagraph">
    <w:name w:val="List Paragraph"/>
    <w:aliases w:val="Sub C,1List N,Body of text,skripsi,Body Text Char1,Char Char2,List Paragraph1,anak bab,kepala,GAMBAR,spasi 2 taiiii,Heading 1 Char1,Tabel,point-point,Judul super kecil,awal,List Paragraph2,UGEX'Z,LIST DOT,LIST LAMPIRAN,Char Char21,gambar"/>
    <w:basedOn w:val="Normal"/>
    <w:link w:val="ListParagraphChar"/>
    <w:uiPriority w:val="34"/>
    <w:qFormat/>
    <w:rsid w:val="004B6A4E"/>
    <w:pPr>
      <w:ind w:left="720"/>
      <w:contextualSpacing/>
    </w:pPr>
  </w:style>
  <w:style w:type="paragraph" w:customStyle="1" w:styleId="JW33textspaceafter">
    <w:name w:val="JW_3.3_text_space_after"/>
    <w:basedOn w:val="Normal"/>
    <w:qFormat/>
    <w:rsid w:val="009336FE"/>
    <w:pPr>
      <w:suppressAutoHyphens w:val="0"/>
      <w:adjustRightInd w:val="0"/>
      <w:snapToGrid w:val="0"/>
      <w:spacing w:after="240" w:line="260" w:lineRule="atLeast"/>
      <w:ind w:firstLine="425"/>
      <w:jc w:val="both"/>
    </w:pPr>
    <w:rPr>
      <w:rFonts w:ascii="Palatino Linotype" w:eastAsia="Times New Roman" w:hAnsi="Palatino Linotype"/>
      <w:snapToGrid w:val="0"/>
      <w:color w:val="000000"/>
      <w:sz w:val="20"/>
      <w:szCs w:val="22"/>
      <w:lang w:eastAsia="de-DE" w:bidi="en-US"/>
    </w:rPr>
  </w:style>
  <w:style w:type="paragraph" w:customStyle="1" w:styleId="JW41tablecaption">
    <w:name w:val="JW_4.1_table_caption"/>
    <w:basedOn w:val="Normal"/>
    <w:qFormat/>
    <w:rsid w:val="009336FE"/>
    <w:pPr>
      <w:suppressAutoHyphens w:val="0"/>
      <w:adjustRightInd w:val="0"/>
      <w:snapToGrid w:val="0"/>
      <w:spacing w:before="240" w:after="120" w:line="260" w:lineRule="atLeast"/>
      <w:ind w:left="425" w:right="425"/>
      <w:jc w:val="both"/>
    </w:pPr>
    <w:rPr>
      <w:rFonts w:ascii="Palatino Linotype" w:eastAsia="Times New Roman" w:hAnsi="Palatino Linotype"/>
      <w:color w:val="000000"/>
      <w:sz w:val="18"/>
      <w:szCs w:val="22"/>
      <w:lang w:eastAsia="de-DE" w:bidi="en-US"/>
    </w:rPr>
  </w:style>
  <w:style w:type="paragraph" w:customStyle="1" w:styleId="JW42tablebody">
    <w:name w:val="JW_4.2_table_body"/>
    <w:qFormat/>
    <w:rsid w:val="009336FE"/>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JW43tablefooter">
    <w:name w:val="JW_4.3_table_footer"/>
    <w:basedOn w:val="JW41tablecaption"/>
    <w:next w:val="Normal"/>
    <w:qFormat/>
    <w:rsid w:val="009336FE"/>
    <w:pPr>
      <w:spacing w:before="0"/>
      <w:ind w:left="0" w:right="0"/>
    </w:pPr>
  </w:style>
  <w:style w:type="paragraph" w:customStyle="1" w:styleId="JW51figurecaption">
    <w:name w:val="JW_5.1_figure_caption"/>
    <w:basedOn w:val="Normal"/>
    <w:qFormat/>
    <w:rsid w:val="009336FE"/>
    <w:pPr>
      <w:suppressAutoHyphens w:val="0"/>
      <w:adjustRightInd w:val="0"/>
      <w:snapToGrid w:val="0"/>
      <w:spacing w:before="120" w:after="240" w:line="260" w:lineRule="atLeast"/>
      <w:ind w:left="425" w:right="425"/>
      <w:jc w:val="both"/>
    </w:pPr>
    <w:rPr>
      <w:rFonts w:ascii="Palatino Linotype" w:eastAsia="Times New Roman" w:hAnsi="Palatino Linotype"/>
      <w:color w:val="000000"/>
      <w:sz w:val="18"/>
      <w:szCs w:val="20"/>
      <w:lang w:eastAsia="de-DE" w:bidi="en-US"/>
    </w:rPr>
  </w:style>
  <w:style w:type="paragraph" w:customStyle="1" w:styleId="JW52figure">
    <w:name w:val="JW_5.2_figure"/>
    <w:qFormat/>
    <w:rsid w:val="009336FE"/>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JW22heading2">
    <w:name w:val="JW_2.2_heading2"/>
    <w:basedOn w:val="Normal"/>
    <w:qFormat/>
    <w:rsid w:val="009336FE"/>
    <w:pPr>
      <w:suppressAutoHyphens w:val="0"/>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eastAsia="de-DE" w:bidi="en-US"/>
    </w:rPr>
  </w:style>
  <w:style w:type="paragraph" w:customStyle="1" w:styleId="JW21heading1">
    <w:name w:val="JW_2.1_heading1"/>
    <w:basedOn w:val="Normal"/>
    <w:qFormat/>
    <w:rsid w:val="009336FE"/>
    <w:pPr>
      <w:numPr>
        <w:numId w:val="3"/>
      </w:numPr>
      <w:suppressAutoHyphens w:val="0"/>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eastAsia="zh-CN" w:bidi="en-US"/>
    </w:rPr>
  </w:style>
  <w:style w:type="paragraph" w:customStyle="1" w:styleId="JW71References">
    <w:name w:val="JW_7.1_References"/>
    <w:basedOn w:val="Normal"/>
    <w:qFormat/>
    <w:rsid w:val="009336FE"/>
    <w:pPr>
      <w:widowControl w:val="0"/>
      <w:suppressAutoHyphens w:val="0"/>
      <w:autoSpaceDE w:val="0"/>
      <w:autoSpaceDN w:val="0"/>
      <w:adjustRightInd w:val="0"/>
      <w:spacing w:line="240" w:lineRule="atLeast"/>
      <w:ind w:left="480" w:hanging="480"/>
      <w:jc w:val="both"/>
    </w:pPr>
    <w:rPr>
      <w:rFonts w:ascii="Palatino Linotype" w:eastAsiaTheme="minorHAnsi" w:hAnsi="Palatino Linotype"/>
      <w:noProof/>
      <w:sz w:val="18"/>
      <w:lang w:val="en-ID" w:eastAsia="en-US"/>
    </w:rPr>
  </w:style>
  <w:style w:type="character" w:customStyle="1" w:styleId="UnresolvedMention1">
    <w:name w:val="Unresolved Mention1"/>
    <w:basedOn w:val="DefaultParagraphFont"/>
    <w:uiPriority w:val="99"/>
    <w:semiHidden/>
    <w:unhideWhenUsed/>
    <w:rsid w:val="00E53B32"/>
    <w:rPr>
      <w:color w:val="605E5C"/>
      <w:shd w:val="clear" w:color="auto" w:fill="E1DFDD"/>
    </w:rPr>
  </w:style>
  <w:style w:type="table" w:customStyle="1" w:styleId="TableGrid1">
    <w:name w:val="Table Grid_1"/>
    <w:basedOn w:val="TableNormal"/>
    <w:uiPriority w:val="39"/>
    <w:qFormat/>
    <w:rsid w:val="00E53B32"/>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qFormat/>
    <w:rsid w:val="00E53B32"/>
    <w:pPr>
      <w:spacing w:after="0" w:line="240" w:lineRule="auto"/>
    </w:pPr>
    <w:rPr>
      <w:rFonts w:ascii="Times New Roman" w:eastAsia="SimSu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5562"/>
    <w:pPr>
      <w:widowControl w:val="0"/>
      <w:suppressAutoHyphens w:val="0"/>
      <w:autoSpaceDE w:val="0"/>
      <w:autoSpaceDN w:val="0"/>
    </w:pPr>
    <w:rPr>
      <w:rFonts w:eastAsia="Times New Roman"/>
      <w:sz w:val="22"/>
      <w:szCs w:val="22"/>
      <w:lang w:eastAsia="en-US"/>
    </w:rPr>
  </w:style>
  <w:style w:type="character" w:customStyle="1" w:styleId="UnresolvedMention2">
    <w:name w:val="Unresolved Mention2"/>
    <w:basedOn w:val="DefaultParagraphFont"/>
    <w:uiPriority w:val="99"/>
    <w:semiHidden/>
    <w:unhideWhenUsed/>
    <w:rsid w:val="00B86EDD"/>
    <w:rPr>
      <w:color w:val="605E5C"/>
      <w:shd w:val="clear" w:color="auto" w:fill="E1DFDD"/>
    </w:rPr>
  </w:style>
  <w:style w:type="character" w:styleId="UnresolvedMention">
    <w:name w:val="Unresolved Mention"/>
    <w:basedOn w:val="DefaultParagraphFont"/>
    <w:uiPriority w:val="99"/>
    <w:semiHidden/>
    <w:unhideWhenUsed/>
    <w:rsid w:val="00456D48"/>
    <w:rPr>
      <w:color w:val="605E5C"/>
      <w:shd w:val="clear" w:color="auto" w:fill="E1DFDD"/>
    </w:rPr>
  </w:style>
  <w:style w:type="paragraph" w:styleId="NormalWeb">
    <w:name w:val="Normal (Web)"/>
    <w:basedOn w:val="Normal"/>
    <w:uiPriority w:val="99"/>
    <w:semiHidden/>
    <w:unhideWhenUsed/>
    <w:rsid w:val="007B03F2"/>
  </w:style>
  <w:style w:type="character" w:customStyle="1" w:styleId="ListParagraphChar">
    <w:name w:val="List Paragraph Char"/>
    <w:aliases w:val="Sub C Char,1List N Char,Body of text Char,skripsi Char,Body Text Char1 Char,Char Char2 Char,List Paragraph1 Char,anak bab Char,kepala Char,GAMBAR Char,spasi 2 taiiii Char,Heading 1 Char1 Char,Tabel Char,point-point Char,awal Char"/>
    <w:basedOn w:val="DefaultParagraphFont"/>
    <w:link w:val="ListParagraph"/>
    <w:uiPriority w:val="34"/>
    <w:qFormat/>
    <w:locked/>
    <w:rsid w:val="00D57E6B"/>
    <w:rPr>
      <w:rFonts w:ascii="Times New Roman" w:eastAsia="MS Mincho"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129">
      <w:bodyDiv w:val="1"/>
      <w:marLeft w:val="0"/>
      <w:marRight w:val="0"/>
      <w:marTop w:val="0"/>
      <w:marBottom w:val="0"/>
      <w:divBdr>
        <w:top w:val="none" w:sz="0" w:space="0" w:color="auto"/>
        <w:left w:val="none" w:sz="0" w:space="0" w:color="auto"/>
        <w:bottom w:val="none" w:sz="0" w:space="0" w:color="auto"/>
        <w:right w:val="none" w:sz="0" w:space="0" w:color="auto"/>
      </w:divBdr>
    </w:div>
    <w:div w:id="352073930">
      <w:bodyDiv w:val="1"/>
      <w:marLeft w:val="0"/>
      <w:marRight w:val="0"/>
      <w:marTop w:val="0"/>
      <w:marBottom w:val="0"/>
      <w:divBdr>
        <w:top w:val="none" w:sz="0" w:space="0" w:color="auto"/>
        <w:left w:val="none" w:sz="0" w:space="0" w:color="auto"/>
        <w:bottom w:val="none" w:sz="0" w:space="0" w:color="auto"/>
        <w:right w:val="none" w:sz="0" w:space="0" w:color="auto"/>
      </w:divBdr>
    </w:div>
    <w:div w:id="490147044">
      <w:bodyDiv w:val="1"/>
      <w:marLeft w:val="0"/>
      <w:marRight w:val="0"/>
      <w:marTop w:val="0"/>
      <w:marBottom w:val="0"/>
      <w:divBdr>
        <w:top w:val="none" w:sz="0" w:space="0" w:color="auto"/>
        <w:left w:val="none" w:sz="0" w:space="0" w:color="auto"/>
        <w:bottom w:val="none" w:sz="0" w:space="0" w:color="auto"/>
        <w:right w:val="none" w:sz="0" w:space="0" w:color="auto"/>
      </w:divBdr>
    </w:div>
    <w:div w:id="1125387405">
      <w:bodyDiv w:val="1"/>
      <w:marLeft w:val="0"/>
      <w:marRight w:val="0"/>
      <w:marTop w:val="0"/>
      <w:marBottom w:val="0"/>
      <w:divBdr>
        <w:top w:val="none" w:sz="0" w:space="0" w:color="auto"/>
        <w:left w:val="none" w:sz="0" w:space="0" w:color="auto"/>
        <w:bottom w:val="none" w:sz="0" w:space="0" w:color="auto"/>
        <w:right w:val="none" w:sz="0" w:space="0" w:color="auto"/>
      </w:divBdr>
    </w:div>
    <w:div w:id="16046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sa/4.0/" TargetMode="External"/><Relationship Id="rId18" Type="http://schemas.openxmlformats.org/officeDocument/2006/relationships/hyperlink" Target="https://doi.org/10.1080/23328940.2021.1886392" TargetMode="External"/><Relationship Id="rId26" Type="http://schemas.openxmlformats.org/officeDocument/2006/relationships/hyperlink" Target="https://doi.org/10.1111/cpr.13040" TargetMode="External"/><Relationship Id="rId39" Type="http://schemas.openxmlformats.org/officeDocument/2006/relationships/hyperlink" Target="https://doi.org/10.4254/wjh.v12.i4.125" TargetMode="External"/><Relationship Id="rId21" Type="http://schemas.openxmlformats.org/officeDocument/2006/relationships/hyperlink" Target="https://doi.org/10.1016/j.foodres.2019.108782" TargetMode="External"/><Relationship Id="rId34" Type="http://schemas.openxmlformats.org/officeDocument/2006/relationships/hyperlink" Target="https://doi.org/10.3390/ijms24097898" TargetMode="External"/><Relationship Id="rId42" Type="http://schemas.openxmlformats.org/officeDocument/2006/relationships/hyperlink" Target="https://doi.org/10.3389/fphar.2020.579944" TargetMode="External"/><Relationship Id="rId47" Type="http://schemas.openxmlformats.org/officeDocument/2006/relationships/hyperlink" Target="https://doi.org/10.1016/j.livres.2023.03.001"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341/jkkt.v11i1.650" TargetMode="External"/><Relationship Id="rId29" Type="http://schemas.openxmlformats.org/officeDocument/2006/relationships/hyperlink" Target="https://doi.org/10.1038/s41598-021-83316-8" TargetMode="External"/><Relationship Id="rId11" Type="http://schemas.openxmlformats.org/officeDocument/2006/relationships/image" Target="media/image4.png"/><Relationship Id="rId24" Type="http://schemas.openxmlformats.org/officeDocument/2006/relationships/hyperlink" Target="https://doi.org/10.1038/s41421-020-00233-2" TargetMode="External"/><Relationship Id="rId32" Type="http://schemas.openxmlformats.org/officeDocument/2006/relationships/hyperlink" Target="https://doi.org/10.1038/s41423-020-00560-0" TargetMode="External"/><Relationship Id="rId37" Type="http://schemas.openxmlformats.org/officeDocument/2006/relationships/hyperlink" Target="https://doi.org/10.3389/fphar.2020.580289" TargetMode="External"/><Relationship Id="rId40" Type="http://schemas.openxmlformats.org/officeDocument/2006/relationships/hyperlink" Target="https://doi.org/10.1016/j.psj.2020.07.016" TargetMode="External"/><Relationship Id="rId45" Type="http://schemas.openxmlformats.org/officeDocument/2006/relationships/hyperlink" Target="https://doi.org/10.31032/IJBPAS/2020/9.10.5201" TargetMode="Externa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hyperlink" Target="https://doi.org/10.24871/2222021116-123" TargetMode="External"/><Relationship Id="rId28" Type="http://schemas.openxmlformats.org/officeDocument/2006/relationships/hyperlink" Target="https://doi.org/10.1016/j.biopha.2021.111732" TargetMode="External"/><Relationship Id="rId36" Type="http://schemas.openxmlformats.org/officeDocument/2006/relationships/hyperlink" Target="https://doi.org/10.21037/jlpm-20-93" TargetMode="External"/><Relationship Id="rId49" Type="http://schemas.openxmlformats.org/officeDocument/2006/relationships/hyperlink" Target="https://doi.org/10.3390/antiox13121506" TargetMode="External"/><Relationship Id="rId10" Type="http://schemas.openxmlformats.org/officeDocument/2006/relationships/hyperlink" Target="mailto:damardegi@students.unnes.ac.id" TargetMode="External"/><Relationship Id="rId19" Type="http://schemas.openxmlformats.org/officeDocument/2006/relationships/hyperlink" Target="https://doi.org/10.65034/bjnabstract-cpn25196" TargetMode="External"/><Relationship Id="rId31" Type="http://schemas.openxmlformats.org/officeDocument/2006/relationships/hyperlink" Target="https://doi.org/10.3389/fphar.2023.%201239395" TargetMode="External"/><Relationship Id="rId44" Type="http://schemas.openxmlformats.org/officeDocument/2006/relationships/hyperlink" Target="https://doi.org/10.1016/j.ecoenv.2023.11459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sa/4.0/" TargetMode="External"/><Relationship Id="rId22" Type="http://schemas.openxmlformats.org/officeDocument/2006/relationships/hyperlink" Target="https://doi.org/10.1111/bcp.15596" TargetMode="External"/><Relationship Id="rId27" Type="http://schemas.openxmlformats.org/officeDocument/2006/relationships/hyperlink" Target="https://doi.org/10.1016/j.heliyon.2023.e17776" TargetMode="External"/><Relationship Id="rId30" Type="http://schemas.openxmlformats.org/officeDocument/2006/relationships/hyperlink" Target="https://doi.org/10.1155/2020/1303524" TargetMode="External"/><Relationship Id="rId35" Type="http://schemas.openxmlformats.org/officeDocument/2006/relationships/hyperlink" Target="https://doi.org/10.1371/journal.pone.0229070" TargetMode="External"/><Relationship Id="rId43" Type="http://schemas.openxmlformats.org/officeDocument/2006/relationships/hyperlink" Target="https://doi.org/10.1016/j.endmts.2025.100272" TargetMode="External"/><Relationship Id="rId48" Type="http://schemas.openxmlformats.org/officeDocument/2006/relationships/hyperlink" Target="https://doi.org/10.3390/antiox8120572"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reativecommons.org/licenses/by-sa/4.0/" TargetMode="External"/><Relationship Id="rId17" Type="http://schemas.openxmlformats.org/officeDocument/2006/relationships/hyperlink" Target="https://doi.org/10.12928/admj.v2i2.5063" TargetMode="External"/><Relationship Id="rId25" Type="http://schemas.openxmlformats.org/officeDocument/2006/relationships/hyperlink" Target="https://doi.org/10.3390/nu15183899" TargetMode="External"/><Relationship Id="rId33" Type="http://schemas.openxmlformats.org/officeDocument/2006/relationships/hyperlink" Target="https://doi.org/10.1155/2020/2696432" TargetMode="External"/><Relationship Id="rId38" Type="http://schemas.openxmlformats.org/officeDocument/2006/relationships/hyperlink" Target="http://conference.juriskes.com/index.php/IC/article/view/116" TargetMode="External"/><Relationship Id="rId46" Type="http://schemas.openxmlformats.org/officeDocument/2006/relationships/hyperlink" Target="https://doi.org/10.3390/plants14030492" TargetMode="External"/><Relationship Id="rId20" Type="http://schemas.openxmlformats.org/officeDocument/2006/relationships/hyperlink" Target="https://doi.org/10.3390/livers%203010003" TargetMode="External"/><Relationship Id="rId41" Type="http://schemas.openxmlformats.org/officeDocument/2006/relationships/hyperlink" Target="https://doi.org/10.33761/jsm.v15i1.1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doi.org/10.37341/jkkt.v11i1.650" TargetMode="External"/><Relationship Id="rId2" Type="http://schemas.openxmlformats.org/officeDocument/2006/relationships/hyperlink" Target="https://doi.org/10.37341/jkkt.v11i1.65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BD85-ABA0-46E8-B0C0-481E9594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23232</Words>
  <Characters>132429</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2026-02-14T16:17:00Z</cp:lastPrinted>
  <dcterms:created xsi:type="dcterms:W3CDTF">2026-02-14T16:23:00Z</dcterms:created>
  <dcterms:modified xsi:type="dcterms:W3CDTF">2026-02-14T17:27:00Z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f148a03c-443a-3736-9dfb-0162c4f4a7c5</vt:lpwstr>
  </property>
  <property fmtid="{D5CDD505-2E9C-101B-9397-08002B2CF9AE}" pid="24" name="Mendeley Citation Style_1">
    <vt:lpwstr>http://www.zotero.org/styles/apa</vt:lpwstr>
  </property>
</Properties>
</file>